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665D" w14:textId="77777777" w:rsidR="00005AC6" w:rsidRPr="000C6432" w:rsidRDefault="00005AC6">
      <w:pPr>
        <w:rPr>
          <w:rFonts w:ascii="Helvetica" w:hAnsi="Helvetica"/>
        </w:rPr>
      </w:pPr>
    </w:p>
    <w:p w14:paraId="5554DAE0" w14:textId="77777777" w:rsidR="00005AC6" w:rsidRPr="000C6432" w:rsidRDefault="00005AC6">
      <w:pPr>
        <w:rPr>
          <w:rFonts w:ascii="Helvetica" w:hAnsi="Helvetica"/>
        </w:rPr>
      </w:pPr>
    </w:p>
    <w:p w14:paraId="56CA40F6" w14:textId="77777777" w:rsidR="00025D0D" w:rsidRPr="000C6432" w:rsidRDefault="00025D0D">
      <w:pPr>
        <w:rPr>
          <w:rFonts w:ascii="Helvetica" w:hAnsi="Helvetica"/>
        </w:rPr>
      </w:pPr>
    </w:p>
    <w:p w14:paraId="1406F62B" w14:textId="77777777" w:rsidR="00025D0D" w:rsidRPr="000C6432" w:rsidRDefault="00025D0D">
      <w:pPr>
        <w:rPr>
          <w:rFonts w:ascii="Helvetica" w:hAnsi="Helvetica"/>
        </w:rPr>
      </w:pPr>
    </w:p>
    <w:p w14:paraId="700D7537" w14:textId="77777777" w:rsidR="009977F3" w:rsidRPr="000C6432" w:rsidRDefault="009977F3">
      <w:pPr>
        <w:rPr>
          <w:rFonts w:ascii="Helvetica" w:hAnsi="Helvetica"/>
        </w:rPr>
      </w:pPr>
    </w:p>
    <w:p w14:paraId="4F56AF13" w14:textId="77777777" w:rsidR="009977F3" w:rsidRPr="000C6432" w:rsidRDefault="009977F3">
      <w:pPr>
        <w:rPr>
          <w:rFonts w:ascii="Helvetica" w:hAnsi="Helvetica"/>
        </w:rPr>
      </w:pPr>
    </w:p>
    <w:p w14:paraId="399D0470" w14:textId="77777777" w:rsidR="009977F3" w:rsidRPr="000C6432" w:rsidRDefault="009977F3">
      <w:pPr>
        <w:rPr>
          <w:rFonts w:ascii="Helvetica" w:hAnsi="Helvetica"/>
        </w:rPr>
      </w:pPr>
    </w:p>
    <w:p w14:paraId="739EC0AE" w14:textId="03784FE0" w:rsidR="00941AD1" w:rsidRPr="000C6432" w:rsidRDefault="004841FB">
      <w:pPr>
        <w:rPr>
          <w:rFonts w:ascii="Helvetica" w:hAnsi="Helvetica"/>
        </w:rPr>
      </w:pPr>
      <w:r w:rsidRPr="000C6432">
        <w:rPr>
          <w:rFonts w:ascii="Helvetica" w:hAnsi="Helvetica"/>
        </w:rPr>
        <w:t xml:space="preserve"> </w:t>
      </w:r>
    </w:p>
    <w:p w14:paraId="2C52CAF3" w14:textId="77777777" w:rsidR="00941AD1" w:rsidRPr="000C6432" w:rsidRDefault="00941AD1">
      <w:pPr>
        <w:rPr>
          <w:rFonts w:ascii="Helvetica" w:hAnsi="Helvetica"/>
        </w:rPr>
      </w:pPr>
    </w:p>
    <w:p w14:paraId="7F4089F1" w14:textId="77777777" w:rsidR="00941AD1" w:rsidRPr="000C6432" w:rsidRDefault="00941AD1">
      <w:pPr>
        <w:rPr>
          <w:rFonts w:ascii="Helvetica" w:hAnsi="Helvetica"/>
        </w:rPr>
      </w:pPr>
    </w:p>
    <w:p w14:paraId="69F8CF32" w14:textId="77777777" w:rsidR="00941AD1" w:rsidRPr="000C6432" w:rsidRDefault="00941AD1">
      <w:pPr>
        <w:rPr>
          <w:rFonts w:ascii="Helvetica" w:hAnsi="Helvetica"/>
        </w:rPr>
      </w:pPr>
    </w:p>
    <w:p w14:paraId="093199B1" w14:textId="77777777" w:rsidR="00941AD1" w:rsidRPr="000C6432" w:rsidRDefault="00941AD1">
      <w:pPr>
        <w:rPr>
          <w:rFonts w:ascii="Helvetica" w:hAnsi="Helvetica"/>
        </w:rPr>
      </w:pPr>
    </w:p>
    <w:p w14:paraId="4EE1DDB0" w14:textId="77777777" w:rsidR="00941AD1" w:rsidRPr="000C6432" w:rsidRDefault="00941AD1">
      <w:pPr>
        <w:rPr>
          <w:rFonts w:ascii="Helvetica" w:hAnsi="Helvetica"/>
        </w:rPr>
      </w:pPr>
    </w:p>
    <w:p w14:paraId="4A02803B" w14:textId="77777777" w:rsidR="00941AD1" w:rsidRPr="000C6432" w:rsidRDefault="00941AD1">
      <w:pPr>
        <w:rPr>
          <w:rFonts w:ascii="Helvetica" w:hAnsi="Helvetica"/>
        </w:rPr>
      </w:pPr>
    </w:p>
    <w:p w14:paraId="5CFE225C" w14:textId="77777777" w:rsidR="00941AD1" w:rsidRPr="000C6432" w:rsidRDefault="00941AD1">
      <w:pPr>
        <w:rPr>
          <w:rFonts w:ascii="Helvetica" w:hAnsi="Helvetica"/>
        </w:rPr>
      </w:pPr>
    </w:p>
    <w:p w14:paraId="1C7915D7" w14:textId="77777777" w:rsidR="00941AD1" w:rsidRPr="000C6432" w:rsidRDefault="00941AD1">
      <w:pPr>
        <w:rPr>
          <w:rFonts w:ascii="Helvetica" w:hAnsi="Helvetica"/>
        </w:rPr>
      </w:pPr>
    </w:p>
    <w:p w14:paraId="6C479A97" w14:textId="77777777" w:rsidR="00941AD1" w:rsidRPr="000C6432" w:rsidRDefault="00941AD1">
      <w:pPr>
        <w:rPr>
          <w:rFonts w:ascii="Helvetica" w:hAnsi="Helvetica"/>
        </w:rPr>
      </w:pPr>
    </w:p>
    <w:p w14:paraId="1202899F" w14:textId="77777777" w:rsidR="00941AD1" w:rsidRPr="000C6432" w:rsidRDefault="00941AD1">
      <w:pPr>
        <w:rPr>
          <w:rFonts w:ascii="Helvetica" w:hAnsi="Helvetica"/>
        </w:rPr>
      </w:pPr>
    </w:p>
    <w:p w14:paraId="0666487F" w14:textId="77777777" w:rsidR="00941AD1" w:rsidRPr="000C6432" w:rsidRDefault="00941AD1">
      <w:pPr>
        <w:rPr>
          <w:rFonts w:ascii="Helvetica" w:hAnsi="Helvetica"/>
        </w:rPr>
      </w:pPr>
    </w:p>
    <w:p w14:paraId="1CF7D84D" w14:textId="77777777" w:rsidR="00941AD1" w:rsidRPr="000C6432" w:rsidRDefault="00941AD1">
      <w:pPr>
        <w:rPr>
          <w:rFonts w:ascii="Helvetica" w:hAnsi="Helvetica"/>
        </w:rPr>
      </w:pPr>
    </w:p>
    <w:p w14:paraId="6B31C33C" w14:textId="77777777" w:rsidR="00941AD1" w:rsidRPr="000C6432" w:rsidRDefault="00941AD1">
      <w:pPr>
        <w:rPr>
          <w:rFonts w:ascii="Helvetica" w:hAnsi="Helvetica"/>
        </w:rPr>
      </w:pPr>
    </w:p>
    <w:p w14:paraId="6F1BB6A7" w14:textId="77777777" w:rsidR="00941AD1" w:rsidRPr="000C6432" w:rsidRDefault="00941AD1">
      <w:pPr>
        <w:rPr>
          <w:rFonts w:ascii="Helvetica" w:hAnsi="Helvetica"/>
        </w:rPr>
      </w:pPr>
    </w:p>
    <w:p w14:paraId="153B0734" w14:textId="77777777" w:rsidR="00941AD1" w:rsidRPr="000C6432" w:rsidRDefault="00941AD1">
      <w:pPr>
        <w:rPr>
          <w:rFonts w:ascii="Helvetica" w:hAnsi="Helvetica"/>
        </w:rPr>
      </w:pPr>
    </w:p>
    <w:p w14:paraId="149003F9" w14:textId="77777777" w:rsidR="00941AD1" w:rsidRPr="000C6432" w:rsidRDefault="00941AD1">
      <w:pPr>
        <w:rPr>
          <w:rFonts w:ascii="Helvetica" w:hAnsi="Helvetica"/>
        </w:rPr>
      </w:pPr>
    </w:p>
    <w:p w14:paraId="73F53621" w14:textId="77777777" w:rsidR="00941AD1" w:rsidRPr="000C6432" w:rsidRDefault="00941AD1">
      <w:pPr>
        <w:rPr>
          <w:rFonts w:ascii="Helvetica" w:hAnsi="Helvetica"/>
        </w:rPr>
      </w:pPr>
    </w:p>
    <w:p w14:paraId="212A858E" w14:textId="77777777" w:rsidR="00941AD1" w:rsidRPr="000C6432" w:rsidRDefault="00941AD1">
      <w:pPr>
        <w:rPr>
          <w:rFonts w:ascii="Helvetica" w:hAnsi="Helvetica"/>
        </w:rPr>
      </w:pPr>
    </w:p>
    <w:p w14:paraId="77524BE9" w14:textId="77777777" w:rsidR="00941AD1" w:rsidRPr="000C6432" w:rsidRDefault="00941AD1">
      <w:pPr>
        <w:rPr>
          <w:rFonts w:ascii="Helvetica" w:hAnsi="Helvetica"/>
        </w:rPr>
      </w:pPr>
    </w:p>
    <w:p w14:paraId="2B3713BF" w14:textId="77777777" w:rsidR="00941AD1" w:rsidRPr="000C6432" w:rsidRDefault="00941AD1">
      <w:pPr>
        <w:rPr>
          <w:rFonts w:ascii="Helvetica" w:hAnsi="Helvetica"/>
        </w:rPr>
      </w:pPr>
    </w:p>
    <w:p w14:paraId="7AFD41A7" w14:textId="77777777" w:rsidR="00941AD1" w:rsidRPr="000C6432" w:rsidRDefault="00941AD1">
      <w:pPr>
        <w:rPr>
          <w:rFonts w:ascii="Helvetica" w:hAnsi="Helvetica"/>
        </w:rPr>
      </w:pPr>
    </w:p>
    <w:p w14:paraId="60CC9781" w14:textId="77777777" w:rsidR="00941AD1" w:rsidRPr="000C6432" w:rsidRDefault="00941AD1">
      <w:pPr>
        <w:rPr>
          <w:rFonts w:ascii="Helvetica" w:hAnsi="Helvetica"/>
        </w:rPr>
      </w:pPr>
    </w:p>
    <w:p w14:paraId="23DD292D" w14:textId="77777777" w:rsidR="00941AD1" w:rsidRPr="000C6432" w:rsidRDefault="00941AD1">
      <w:pPr>
        <w:rPr>
          <w:rFonts w:ascii="Helvetica" w:hAnsi="Helvetica"/>
        </w:rPr>
      </w:pPr>
    </w:p>
    <w:p w14:paraId="3091A56B" w14:textId="77777777" w:rsidR="00941AD1" w:rsidRPr="000C6432" w:rsidRDefault="00941AD1">
      <w:pPr>
        <w:rPr>
          <w:rFonts w:ascii="Helvetica" w:hAnsi="Helvetica"/>
        </w:rPr>
      </w:pPr>
    </w:p>
    <w:p w14:paraId="66A47593" w14:textId="77777777" w:rsidR="008C3D12" w:rsidRPr="000C6432" w:rsidRDefault="008C3D12">
      <w:pPr>
        <w:rPr>
          <w:rFonts w:ascii="Helvetica" w:hAnsi="Helvetica"/>
        </w:rPr>
      </w:pPr>
    </w:p>
    <w:p w14:paraId="5E83C8C5" w14:textId="77777777" w:rsidR="00941AD1" w:rsidRPr="000C6432" w:rsidRDefault="00941AD1">
      <w:pPr>
        <w:rPr>
          <w:rFonts w:ascii="Helvetica" w:hAnsi="Helvetica"/>
        </w:rPr>
      </w:pPr>
    </w:p>
    <w:p w14:paraId="00BA11AD" w14:textId="77777777" w:rsidR="00941AD1" w:rsidRPr="000C6432" w:rsidRDefault="00941AD1">
      <w:pPr>
        <w:rPr>
          <w:rFonts w:ascii="Helvetica" w:hAnsi="Helvetica"/>
          <w:b/>
        </w:rPr>
      </w:pPr>
    </w:p>
    <w:p w14:paraId="7D44C0BB" w14:textId="48A72299" w:rsidR="001412F3" w:rsidRDefault="001412F3" w:rsidP="00941AD1">
      <w:pPr>
        <w:jc w:val="right"/>
        <w:rPr>
          <w:rFonts w:ascii="Helvetica" w:hAnsi="Helvetica"/>
          <w:b/>
        </w:rPr>
      </w:pPr>
      <w:r w:rsidRPr="000C6432">
        <w:rPr>
          <w:rFonts w:ascii="Helvetica" w:hAnsi="Helvetica"/>
          <w:b/>
        </w:rPr>
        <w:t>Craig Foye</w:t>
      </w:r>
    </w:p>
    <w:p w14:paraId="4EE71D26" w14:textId="70367E14" w:rsidR="006460BF" w:rsidRPr="000C6432" w:rsidRDefault="006460BF" w:rsidP="00941AD1">
      <w:pPr>
        <w:jc w:val="right"/>
        <w:rPr>
          <w:rFonts w:ascii="Helvetica" w:hAnsi="Helvetica"/>
          <w:b/>
        </w:rPr>
      </w:pPr>
      <w:r>
        <w:rPr>
          <w:rFonts w:ascii="Helvetica" w:hAnsi="Helvetica"/>
          <w:b/>
        </w:rPr>
        <w:t>The Cancellation of the Basic Income Pilot in Ontario:  A Discussion from the Perspective of Participant Vulnerability(ies)</w:t>
      </w:r>
      <w:r>
        <w:rPr>
          <w:rStyle w:val="FootnoteReference"/>
          <w:rFonts w:ascii="Helvetica" w:hAnsi="Helvetica"/>
          <w:b/>
        </w:rPr>
        <w:footnoteReference w:id="1"/>
      </w:r>
      <w:r>
        <w:rPr>
          <w:rFonts w:ascii="Helvetica" w:hAnsi="Helvetica"/>
          <w:b/>
        </w:rPr>
        <w:t xml:space="preserve"> </w:t>
      </w:r>
    </w:p>
    <w:p w14:paraId="7FFD203D" w14:textId="77777777" w:rsidR="001412F3" w:rsidRPr="000C6432" w:rsidRDefault="001412F3">
      <w:pPr>
        <w:rPr>
          <w:rFonts w:ascii="Helvetica" w:hAnsi="Helvetica"/>
        </w:rPr>
      </w:pPr>
    </w:p>
    <w:p w14:paraId="1BFC5E2E" w14:textId="77777777" w:rsidR="00C87D8B" w:rsidRDefault="00C87D8B" w:rsidP="001A65DB">
      <w:pPr>
        <w:spacing w:line="480" w:lineRule="auto"/>
        <w:rPr>
          <w:rFonts w:ascii="Helvetica" w:hAnsi="Helvetica"/>
        </w:rPr>
      </w:pPr>
    </w:p>
    <w:p w14:paraId="3BB5C2FC" w14:textId="39ABF502" w:rsidR="00C87D8B" w:rsidRDefault="00C87D8B" w:rsidP="001A65DB">
      <w:pPr>
        <w:spacing w:line="480" w:lineRule="auto"/>
        <w:rPr>
          <w:rFonts w:ascii="Helvetica" w:hAnsi="Helvetica"/>
        </w:rPr>
      </w:pPr>
    </w:p>
    <w:sdt>
      <w:sdtPr>
        <w:rPr>
          <w:rFonts w:ascii="Times New Roman" w:eastAsia="Times New Roman" w:hAnsi="Times New Roman" w:cs="Times New Roman"/>
          <w:b w:val="0"/>
          <w:bCs w:val="0"/>
          <w:color w:val="auto"/>
          <w:sz w:val="24"/>
          <w:szCs w:val="24"/>
          <w:lang w:val="en-CA"/>
        </w:rPr>
        <w:id w:val="818608345"/>
        <w:docPartObj>
          <w:docPartGallery w:val="Table of Contents"/>
          <w:docPartUnique/>
        </w:docPartObj>
      </w:sdtPr>
      <w:sdtEndPr>
        <w:rPr>
          <w:noProof/>
        </w:rPr>
      </w:sdtEndPr>
      <w:sdtContent>
        <w:p w14:paraId="76B01D0D" w14:textId="2A72FD1E" w:rsidR="00DD6F59" w:rsidRDefault="00DD6F59">
          <w:pPr>
            <w:pStyle w:val="TOCHeading"/>
          </w:pPr>
          <w:r>
            <w:t>Table of Contents</w:t>
          </w:r>
        </w:p>
        <w:p w14:paraId="1438C9BE" w14:textId="292D49EF" w:rsidR="00DD6F59" w:rsidRDefault="00DD6F59">
          <w:pPr>
            <w:pStyle w:val="TOC1"/>
            <w:tabs>
              <w:tab w:val="left" w:pos="480"/>
              <w:tab w:val="right" w:leader="dot" w:pos="9622"/>
            </w:tabs>
            <w:rPr>
              <w:rFonts w:eastAsiaTheme="minorEastAsia" w:cstheme="minorBidi"/>
              <w:b w:val="0"/>
              <w:bCs w:val="0"/>
              <w:i/>
              <w:iCs/>
              <w:noProof/>
            </w:rPr>
          </w:pPr>
          <w:r>
            <w:rPr>
              <w:b w:val="0"/>
              <w:bCs w:val="0"/>
            </w:rPr>
            <w:fldChar w:fldCharType="begin"/>
          </w:r>
          <w:r>
            <w:instrText xml:space="preserve"> TOC \o "1-3" \h \z \u </w:instrText>
          </w:r>
          <w:r>
            <w:rPr>
              <w:b w:val="0"/>
              <w:bCs w:val="0"/>
            </w:rPr>
            <w:fldChar w:fldCharType="separate"/>
          </w:r>
          <w:hyperlink w:anchor="_Toc38389767" w:history="1">
            <w:r w:rsidRPr="00197C1E">
              <w:rPr>
                <w:rStyle w:val="Hyperlink"/>
                <w:noProof/>
              </w:rPr>
              <w:t>1.</w:t>
            </w:r>
            <w:r>
              <w:rPr>
                <w:rFonts w:eastAsiaTheme="minorEastAsia" w:cstheme="minorBidi"/>
                <w:b w:val="0"/>
                <w:bCs w:val="0"/>
                <w:i/>
                <w:iCs/>
                <w:noProof/>
              </w:rPr>
              <w:tab/>
            </w:r>
            <w:r w:rsidRPr="00197C1E">
              <w:rPr>
                <w:rStyle w:val="Hyperlink"/>
                <w:noProof/>
              </w:rPr>
              <w:t>Introduction</w:t>
            </w:r>
            <w:r>
              <w:rPr>
                <w:noProof/>
                <w:webHidden/>
              </w:rPr>
              <w:tab/>
            </w:r>
            <w:r>
              <w:rPr>
                <w:noProof/>
                <w:webHidden/>
              </w:rPr>
              <w:fldChar w:fldCharType="begin"/>
            </w:r>
            <w:r>
              <w:rPr>
                <w:noProof/>
                <w:webHidden/>
              </w:rPr>
              <w:instrText xml:space="preserve"> PAGEREF _Toc38389767 \h </w:instrText>
            </w:r>
            <w:r>
              <w:rPr>
                <w:noProof/>
                <w:webHidden/>
              </w:rPr>
            </w:r>
            <w:r>
              <w:rPr>
                <w:noProof/>
                <w:webHidden/>
              </w:rPr>
              <w:fldChar w:fldCharType="separate"/>
            </w:r>
            <w:r>
              <w:rPr>
                <w:noProof/>
                <w:webHidden/>
              </w:rPr>
              <w:t>3</w:t>
            </w:r>
            <w:r>
              <w:rPr>
                <w:noProof/>
                <w:webHidden/>
              </w:rPr>
              <w:fldChar w:fldCharType="end"/>
            </w:r>
          </w:hyperlink>
        </w:p>
        <w:p w14:paraId="61A0407C" w14:textId="1B589217" w:rsidR="00DD6F59" w:rsidRDefault="00DC6DA7">
          <w:pPr>
            <w:pStyle w:val="TOC1"/>
            <w:tabs>
              <w:tab w:val="left" w:pos="480"/>
              <w:tab w:val="right" w:leader="dot" w:pos="9622"/>
            </w:tabs>
            <w:rPr>
              <w:rFonts w:eastAsiaTheme="minorEastAsia" w:cstheme="minorBidi"/>
              <w:b w:val="0"/>
              <w:bCs w:val="0"/>
              <w:i/>
              <w:iCs/>
              <w:noProof/>
            </w:rPr>
          </w:pPr>
          <w:hyperlink w:anchor="_Toc38389768" w:history="1">
            <w:r w:rsidR="00DD6F59" w:rsidRPr="00197C1E">
              <w:rPr>
                <w:rStyle w:val="Hyperlink"/>
                <w:noProof/>
              </w:rPr>
              <w:t>2.</w:t>
            </w:r>
            <w:r w:rsidR="00DD6F59">
              <w:rPr>
                <w:rFonts w:eastAsiaTheme="minorEastAsia" w:cstheme="minorBidi"/>
                <w:b w:val="0"/>
                <w:bCs w:val="0"/>
                <w:i/>
                <w:iCs/>
                <w:noProof/>
              </w:rPr>
              <w:tab/>
            </w:r>
            <w:r w:rsidR="00DD6F59" w:rsidRPr="00197C1E">
              <w:rPr>
                <w:rStyle w:val="Hyperlink"/>
                <w:noProof/>
              </w:rPr>
              <w:t>Bowman et al. v. Her Majesty the Queen (“</w:t>
            </w:r>
            <w:r w:rsidR="00DD6F59" w:rsidRPr="00197C1E">
              <w:rPr>
                <w:rStyle w:val="Hyperlink"/>
                <w:i/>
                <w:iCs/>
                <w:noProof/>
              </w:rPr>
              <w:t>Bowman</w:t>
            </w:r>
            <w:r w:rsidR="00DD6F59" w:rsidRPr="00197C1E">
              <w:rPr>
                <w:rStyle w:val="Hyperlink"/>
                <w:noProof/>
              </w:rPr>
              <w:t>”)</w:t>
            </w:r>
            <w:r w:rsidR="00DD6F59">
              <w:rPr>
                <w:noProof/>
                <w:webHidden/>
              </w:rPr>
              <w:tab/>
            </w:r>
            <w:r w:rsidR="00DD6F59">
              <w:rPr>
                <w:noProof/>
                <w:webHidden/>
              </w:rPr>
              <w:fldChar w:fldCharType="begin"/>
            </w:r>
            <w:r w:rsidR="00DD6F59">
              <w:rPr>
                <w:noProof/>
                <w:webHidden/>
              </w:rPr>
              <w:instrText xml:space="preserve"> PAGEREF _Toc38389768 \h </w:instrText>
            </w:r>
            <w:r w:rsidR="00DD6F59">
              <w:rPr>
                <w:noProof/>
                <w:webHidden/>
              </w:rPr>
            </w:r>
            <w:r w:rsidR="00DD6F59">
              <w:rPr>
                <w:noProof/>
                <w:webHidden/>
              </w:rPr>
              <w:fldChar w:fldCharType="separate"/>
            </w:r>
            <w:r w:rsidR="00DD6F59">
              <w:rPr>
                <w:noProof/>
                <w:webHidden/>
              </w:rPr>
              <w:t>5</w:t>
            </w:r>
            <w:r w:rsidR="00DD6F59">
              <w:rPr>
                <w:noProof/>
                <w:webHidden/>
              </w:rPr>
              <w:fldChar w:fldCharType="end"/>
            </w:r>
          </w:hyperlink>
        </w:p>
        <w:p w14:paraId="5BD6B34E" w14:textId="1DF9C192" w:rsidR="00DD6F59" w:rsidRDefault="00DC6DA7">
          <w:pPr>
            <w:pStyle w:val="TOC2"/>
            <w:tabs>
              <w:tab w:val="left" w:pos="720"/>
              <w:tab w:val="right" w:leader="dot" w:pos="9622"/>
            </w:tabs>
            <w:rPr>
              <w:rFonts w:eastAsiaTheme="minorEastAsia" w:cstheme="minorBidi"/>
              <w:b/>
              <w:bCs/>
              <w:noProof/>
              <w:sz w:val="24"/>
              <w:szCs w:val="24"/>
            </w:rPr>
          </w:pPr>
          <w:hyperlink w:anchor="_Toc38389769" w:history="1">
            <w:r w:rsidR="00DD6F59" w:rsidRPr="00197C1E">
              <w:rPr>
                <w:rStyle w:val="Hyperlink"/>
                <w:noProof/>
              </w:rPr>
              <w:t>a)</w:t>
            </w:r>
            <w:r w:rsidR="00DD6F59">
              <w:rPr>
                <w:rFonts w:eastAsiaTheme="minorEastAsia" w:cstheme="minorBidi"/>
                <w:b/>
                <w:bCs/>
                <w:noProof/>
                <w:sz w:val="24"/>
                <w:szCs w:val="24"/>
              </w:rPr>
              <w:tab/>
            </w:r>
            <w:r w:rsidR="00DD6F59" w:rsidRPr="00197C1E">
              <w:rPr>
                <w:rStyle w:val="Hyperlink"/>
                <w:noProof/>
              </w:rPr>
              <w:t>The Legal Decision</w:t>
            </w:r>
            <w:r w:rsidR="00DD6F59">
              <w:rPr>
                <w:noProof/>
                <w:webHidden/>
              </w:rPr>
              <w:tab/>
            </w:r>
            <w:r w:rsidR="00DD6F59">
              <w:rPr>
                <w:noProof/>
                <w:webHidden/>
              </w:rPr>
              <w:fldChar w:fldCharType="begin"/>
            </w:r>
            <w:r w:rsidR="00DD6F59">
              <w:rPr>
                <w:noProof/>
                <w:webHidden/>
              </w:rPr>
              <w:instrText xml:space="preserve"> PAGEREF _Toc38389769 \h </w:instrText>
            </w:r>
            <w:r w:rsidR="00DD6F59">
              <w:rPr>
                <w:noProof/>
                <w:webHidden/>
              </w:rPr>
            </w:r>
            <w:r w:rsidR="00DD6F59">
              <w:rPr>
                <w:noProof/>
                <w:webHidden/>
              </w:rPr>
              <w:fldChar w:fldCharType="separate"/>
            </w:r>
            <w:r w:rsidR="00DD6F59">
              <w:rPr>
                <w:noProof/>
                <w:webHidden/>
              </w:rPr>
              <w:t>5</w:t>
            </w:r>
            <w:r w:rsidR="00DD6F59">
              <w:rPr>
                <w:noProof/>
                <w:webHidden/>
              </w:rPr>
              <w:fldChar w:fldCharType="end"/>
            </w:r>
          </w:hyperlink>
        </w:p>
        <w:p w14:paraId="56A9A481" w14:textId="5A67BCEB" w:rsidR="00DD6F59" w:rsidRDefault="00DC6DA7">
          <w:pPr>
            <w:pStyle w:val="TOC2"/>
            <w:tabs>
              <w:tab w:val="left" w:pos="720"/>
              <w:tab w:val="right" w:leader="dot" w:pos="9622"/>
            </w:tabs>
            <w:rPr>
              <w:rFonts w:eastAsiaTheme="minorEastAsia" w:cstheme="minorBidi"/>
              <w:b/>
              <w:bCs/>
              <w:noProof/>
              <w:sz w:val="24"/>
              <w:szCs w:val="24"/>
            </w:rPr>
          </w:pPr>
          <w:hyperlink w:anchor="_Toc38389770" w:history="1">
            <w:r w:rsidR="00DD6F59" w:rsidRPr="00197C1E">
              <w:rPr>
                <w:rStyle w:val="Hyperlink"/>
                <w:noProof/>
              </w:rPr>
              <w:t>b)</w:t>
            </w:r>
            <w:r w:rsidR="00DD6F59">
              <w:rPr>
                <w:rFonts w:eastAsiaTheme="minorEastAsia" w:cstheme="minorBidi"/>
                <w:b/>
                <w:bCs/>
                <w:noProof/>
                <w:sz w:val="24"/>
                <w:szCs w:val="24"/>
              </w:rPr>
              <w:tab/>
            </w:r>
            <w:r w:rsidR="00DD6F59" w:rsidRPr="00197C1E">
              <w:rPr>
                <w:rStyle w:val="Hyperlink"/>
                <w:noProof/>
              </w:rPr>
              <w:t>The Basic Income Pilot</w:t>
            </w:r>
            <w:r w:rsidR="00DD6F59">
              <w:rPr>
                <w:noProof/>
                <w:webHidden/>
              </w:rPr>
              <w:tab/>
            </w:r>
            <w:r w:rsidR="00DD6F59">
              <w:rPr>
                <w:noProof/>
                <w:webHidden/>
              </w:rPr>
              <w:fldChar w:fldCharType="begin"/>
            </w:r>
            <w:r w:rsidR="00DD6F59">
              <w:rPr>
                <w:noProof/>
                <w:webHidden/>
              </w:rPr>
              <w:instrText xml:space="preserve"> PAGEREF _Toc38389770 \h </w:instrText>
            </w:r>
            <w:r w:rsidR="00DD6F59">
              <w:rPr>
                <w:noProof/>
                <w:webHidden/>
              </w:rPr>
            </w:r>
            <w:r w:rsidR="00DD6F59">
              <w:rPr>
                <w:noProof/>
                <w:webHidden/>
              </w:rPr>
              <w:fldChar w:fldCharType="separate"/>
            </w:r>
            <w:r w:rsidR="00DD6F59">
              <w:rPr>
                <w:noProof/>
                <w:webHidden/>
              </w:rPr>
              <w:t>6</w:t>
            </w:r>
            <w:r w:rsidR="00DD6F59">
              <w:rPr>
                <w:noProof/>
                <w:webHidden/>
              </w:rPr>
              <w:fldChar w:fldCharType="end"/>
            </w:r>
          </w:hyperlink>
        </w:p>
        <w:p w14:paraId="4518DBA7" w14:textId="5152F9B5" w:rsidR="00DD6F59" w:rsidRDefault="00DC6DA7">
          <w:pPr>
            <w:pStyle w:val="TOC2"/>
            <w:tabs>
              <w:tab w:val="left" w:pos="720"/>
              <w:tab w:val="right" w:leader="dot" w:pos="9622"/>
            </w:tabs>
            <w:rPr>
              <w:rFonts w:eastAsiaTheme="minorEastAsia" w:cstheme="minorBidi"/>
              <w:b/>
              <w:bCs/>
              <w:noProof/>
              <w:sz w:val="24"/>
              <w:szCs w:val="24"/>
            </w:rPr>
          </w:pPr>
          <w:hyperlink w:anchor="_Toc38389771" w:history="1">
            <w:r w:rsidR="00DD6F59" w:rsidRPr="00197C1E">
              <w:rPr>
                <w:rStyle w:val="Hyperlink"/>
                <w:noProof/>
              </w:rPr>
              <w:t>c)</w:t>
            </w:r>
            <w:r w:rsidR="00DD6F59">
              <w:rPr>
                <w:rFonts w:eastAsiaTheme="minorEastAsia" w:cstheme="minorBidi"/>
                <w:b/>
                <w:bCs/>
                <w:noProof/>
                <w:sz w:val="24"/>
                <w:szCs w:val="24"/>
              </w:rPr>
              <w:tab/>
            </w:r>
            <w:r w:rsidR="00DD6F59" w:rsidRPr="00197C1E">
              <w:rPr>
                <w:rStyle w:val="Hyperlink"/>
                <w:noProof/>
              </w:rPr>
              <w:t>The Expert Ethical Evidence</w:t>
            </w:r>
            <w:r w:rsidR="00DD6F59">
              <w:rPr>
                <w:noProof/>
                <w:webHidden/>
              </w:rPr>
              <w:tab/>
            </w:r>
            <w:r w:rsidR="00DD6F59">
              <w:rPr>
                <w:noProof/>
                <w:webHidden/>
              </w:rPr>
              <w:fldChar w:fldCharType="begin"/>
            </w:r>
            <w:r w:rsidR="00DD6F59">
              <w:rPr>
                <w:noProof/>
                <w:webHidden/>
              </w:rPr>
              <w:instrText xml:space="preserve"> PAGEREF _Toc38389771 \h </w:instrText>
            </w:r>
            <w:r w:rsidR="00DD6F59">
              <w:rPr>
                <w:noProof/>
                <w:webHidden/>
              </w:rPr>
            </w:r>
            <w:r w:rsidR="00DD6F59">
              <w:rPr>
                <w:noProof/>
                <w:webHidden/>
              </w:rPr>
              <w:fldChar w:fldCharType="separate"/>
            </w:r>
            <w:r w:rsidR="00DD6F59">
              <w:rPr>
                <w:noProof/>
                <w:webHidden/>
              </w:rPr>
              <w:t>7</w:t>
            </w:r>
            <w:r w:rsidR="00DD6F59">
              <w:rPr>
                <w:noProof/>
                <w:webHidden/>
              </w:rPr>
              <w:fldChar w:fldCharType="end"/>
            </w:r>
          </w:hyperlink>
        </w:p>
        <w:p w14:paraId="65AF79FF" w14:textId="2800AC1C" w:rsidR="00DD6F59" w:rsidRDefault="00DC6DA7">
          <w:pPr>
            <w:pStyle w:val="TOC1"/>
            <w:tabs>
              <w:tab w:val="left" w:pos="480"/>
              <w:tab w:val="right" w:leader="dot" w:pos="9622"/>
            </w:tabs>
            <w:rPr>
              <w:rFonts w:eastAsiaTheme="minorEastAsia" w:cstheme="minorBidi"/>
              <w:b w:val="0"/>
              <w:bCs w:val="0"/>
              <w:i/>
              <w:iCs/>
              <w:noProof/>
            </w:rPr>
          </w:pPr>
          <w:hyperlink w:anchor="_Toc38389772" w:history="1">
            <w:r w:rsidR="00DD6F59" w:rsidRPr="00197C1E">
              <w:rPr>
                <w:rStyle w:val="Hyperlink"/>
                <w:noProof/>
              </w:rPr>
              <w:t>3.</w:t>
            </w:r>
            <w:r w:rsidR="00DD6F59">
              <w:rPr>
                <w:rFonts w:eastAsiaTheme="minorEastAsia" w:cstheme="minorBidi"/>
                <w:b w:val="0"/>
                <w:bCs w:val="0"/>
                <w:i/>
                <w:iCs/>
                <w:noProof/>
              </w:rPr>
              <w:tab/>
            </w:r>
            <w:r w:rsidR="00DD6F59" w:rsidRPr="00197C1E">
              <w:rPr>
                <w:rStyle w:val="Hyperlink"/>
                <w:noProof/>
              </w:rPr>
              <w:t>The Formalistic Claims-Based Approach</w:t>
            </w:r>
            <w:r w:rsidR="00DD6F59">
              <w:rPr>
                <w:noProof/>
                <w:webHidden/>
              </w:rPr>
              <w:tab/>
            </w:r>
            <w:r w:rsidR="00DD6F59">
              <w:rPr>
                <w:noProof/>
                <w:webHidden/>
              </w:rPr>
              <w:fldChar w:fldCharType="begin"/>
            </w:r>
            <w:r w:rsidR="00DD6F59">
              <w:rPr>
                <w:noProof/>
                <w:webHidden/>
              </w:rPr>
              <w:instrText xml:space="preserve"> PAGEREF _Toc38389772 \h </w:instrText>
            </w:r>
            <w:r w:rsidR="00DD6F59">
              <w:rPr>
                <w:noProof/>
                <w:webHidden/>
              </w:rPr>
            </w:r>
            <w:r w:rsidR="00DD6F59">
              <w:rPr>
                <w:noProof/>
                <w:webHidden/>
              </w:rPr>
              <w:fldChar w:fldCharType="separate"/>
            </w:r>
            <w:r w:rsidR="00DD6F59">
              <w:rPr>
                <w:noProof/>
                <w:webHidden/>
              </w:rPr>
              <w:t>9</w:t>
            </w:r>
            <w:r w:rsidR="00DD6F59">
              <w:rPr>
                <w:noProof/>
                <w:webHidden/>
              </w:rPr>
              <w:fldChar w:fldCharType="end"/>
            </w:r>
          </w:hyperlink>
        </w:p>
        <w:p w14:paraId="17E80DCC" w14:textId="2DEDC67D" w:rsidR="00DD6F59" w:rsidRDefault="00DC6DA7">
          <w:pPr>
            <w:pStyle w:val="TOC2"/>
            <w:tabs>
              <w:tab w:val="left" w:pos="720"/>
              <w:tab w:val="right" w:leader="dot" w:pos="9622"/>
            </w:tabs>
            <w:rPr>
              <w:rFonts w:eastAsiaTheme="minorEastAsia" w:cstheme="minorBidi"/>
              <w:b/>
              <w:bCs/>
              <w:noProof/>
              <w:sz w:val="24"/>
              <w:szCs w:val="24"/>
            </w:rPr>
          </w:pPr>
          <w:hyperlink w:anchor="_Toc38389773" w:history="1">
            <w:r w:rsidR="00DD6F59" w:rsidRPr="00197C1E">
              <w:rPr>
                <w:rStyle w:val="Hyperlink"/>
                <w:noProof/>
              </w:rPr>
              <w:t>a)</w:t>
            </w:r>
            <w:r w:rsidR="00DD6F59">
              <w:rPr>
                <w:rFonts w:eastAsiaTheme="minorEastAsia" w:cstheme="minorBidi"/>
                <w:b/>
                <w:bCs/>
                <w:noProof/>
                <w:sz w:val="24"/>
                <w:szCs w:val="24"/>
              </w:rPr>
              <w:tab/>
            </w:r>
            <w:r w:rsidR="00DD6F59" w:rsidRPr="00197C1E">
              <w:rPr>
                <w:rStyle w:val="Hyperlink"/>
                <w:noProof/>
              </w:rPr>
              <w:t>Claims, Duties and Ethical Bracketing</w:t>
            </w:r>
            <w:r w:rsidR="00DD6F59">
              <w:rPr>
                <w:noProof/>
                <w:webHidden/>
              </w:rPr>
              <w:tab/>
            </w:r>
            <w:r w:rsidR="00DD6F59">
              <w:rPr>
                <w:noProof/>
                <w:webHidden/>
              </w:rPr>
              <w:fldChar w:fldCharType="begin"/>
            </w:r>
            <w:r w:rsidR="00DD6F59">
              <w:rPr>
                <w:noProof/>
                <w:webHidden/>
              </w:rPr>
              <w:instrText xml:space="preserve"> PAGEREF _Toc38389773 \h </w:instrText>
            </w:r>
            <w:r w:rsidR="00DD6F59">
              <w:rPr>
                <w:noProof/>
                <w:webHidden/>
              </w:rPr>
            </w:r>
            <w:r w:rsidR="00DD6F59">
              <w:rPr>
                <w:noProof/>
                <w:webHidden/>
              </w:rPr>
              <w:fldChar w:fldCharType="separate"/>
            </w:r>
            <w:r w:rsidR="00DD6F59">
              <w:rPr>
                <w:noProof/>
                <w:webHidden/>
              </w:rPr>
              <w:t>9</w:t>
            </w:r>
            <w:r w:rsidR="00DD6F59">
              <w:rPr>
                <w:noProof/>
                <w:webHidden/>
              </w:rPr>
              <w:fldChar w:fldCharType="end"/>
            </w:r>
          </w:hyperlink>
        </w:p>
        <w:p w14:paraId="3C65FCA3" w14:textId="454AB395" w:rsidR="00DD6F59" w:rsidRDefault="00DC6DA7">
          <w:pPr>
            <w:pStyle w:val="TOC2"/>
            <w:tabs>
              <w:tab w:val="left" w:pos="720"/>
              <w:tab w:val="right" w:leader="dot" w:pos="9622"/>
            </w:tabs>
            <w:rPr>
              <w:rFonts w:eastAsiaTheme="minorEastAsia" w:cstheme="minorBidi"/>
              <w:b/>
              <w:bCs/>
              <w:noProof/>
              <w:sz w:val="24"/>
              <w:szCs w:val="24"/>
            </w:rPr>
          </w:pPr>
          <w:hyperlink w:anchor="_Toc38389774" w:history="1">
            <w:r w:rsidR="00DD6F59" w:rsidRPr="00197C1E">
              <w:rPr>
                <w:rStyle w:val="Hyperlink"/>
                <w:noProof/>
              </w:rPr>
              <w:t>b)</w:t>
            </w:r>
            <w:r w:rsidR="00DD6F59">
              <w:rPr>
                <w:rFonts w:eastAsiaTheme="minorEastAsia" w:cstheme="minorBidi"/>
                <w:b/>
                <w:bCs/>
                <w:noProof/>
                <w:sz w:val="24"/>
                <w:szCs w:val="24"/>
              </w:rPr>
              <w:tab/>
            </w:r>
            <w:r w:rsidR="00DD6F59" w:rsidRPr="00197C1E">
              <w:rPr>
                <w:rStyle w:val="Hyperlink"/>
                <w:noProof/>
              </w:rPr>
              <w:t>Clinical Equipoise and ‘Income as Treatment’</w:t>
            </w:r>
            <w:r w:rsidR="00DD6F59">
              <w:rPr>
                <w:noProof/>
                <w:webHidden/>
              </w:rPr>
              <w:tab/>
            </w:r>
            <w:r w:rsidR="00DD6F59">
              <w:rPr>
                <w:noProof/>
                <w:webHidden/>
              </w:rPr>
              <w:fldChar w:fldCharType="begin"/>
            </w:r>
            <w:r w:rsidR="00DD6F59">
              <w:rPr>
                <w:noProof/>
                <w:webHidden/>
              </w:rPr>
              <w:instrText xml:space="preserve"> PAGEREF _Toc38389774 \h </w:instrText>
            </w:r>
            <w:r w:rsidR="00DD6F59">
              <w:rPr>
                <w:noProof/>
                <w:webHidden/>
              </w:rPr>
            </w:r>
            <w:r w:rsidR="00DD6F59">
              <w:rPr>
                <w:noProof/>
                <w:webHidden/>
              </w:rPr>
              <w:fldChar w:fldCharType="separate"/>
            </w:r>
            <w:r w:rsidR="00DD6F59">
              <w:rPr>
                <w:noProof/>
                <w:webHidden/>
              </w:rPr>
              <w:t>11</w:t>
            </w:r>
            <w:r w:rsidR="00DD6F59">
              <w:rPr>
                <w:noProof/>
                <w:webHidden/>
              </w:rPr>
              <w:fldChar w:fldCharType="end"/>
            </w:r>
          </w:hyperlink>
        </w:p>
        <w:p w14:paraId="2F99D587" w14:textId="78658683" w:rsidR="00DD6F59" w:rsidRDefault="00DC6DA7">
          <w:pPr>
            <w:pStyle w:val="TOC1"/>
            <w:tabs>
              <w:tab w:val="left" w:pos="480"/>
              <w:tab w:val="right" w:leader="dot" w:pos="9622"/>
            </w:tabs>
            <w:rPr>
              <w:rFonts w:eastAsiaTheme="minorEastAsia" w:cstheme="minorBidi"/>
              <w:b w:val="0"/>
              <w:bCs w:val="0"/>
              <w:i/>
              <w:iCs/>
              <w:noProof/>
            </w:rPr>
          </w:pPr>
          <w:hyperlink w:anchor="_Toc38389775" w:history="1">
            <w:r w:rsidR="00DD6F59" w:rsidRPr="00197C1E">
              <w:rPr>
                <w:rStyle w:val="Hyperlink"/>
                <w:noProof/>
              </w:rPr>
              <w:t>4.</w:t>
            </w:r>
            <w:r w:rsidR="00DD6F59">
              <w:rPr>
                <w:rFonts w:eastAsiaTheme="minorEastAsia" w:cstheme="minorBidi"/>
                <w:b w:val="0"/>
                <w:bCs w:val="0"/>
                <w:i/>
                <w:iCs/>
                <w:noProof/>
              </w:rPr>
              <w:tab/>
            </w:r>
            <w:r w:rsidR="00DD6F59" w:rsidRPr="00197C1E">
              <w:rPr>
                <w:rStyle w:val="Hyperlink"/>
                <w:noProof/>
              </w:rPr>
              <w:t>Layered Vulnerabilities in Basic Income Research</w:t>
            </w:r>
            <w:r w:rsidR="00DD6F59">
              <w:rPr>
                <w:noProof/>
                <w:webHidden/>
              </w:rPr>
              <w:tab/>
            </w:r>
            <w:r w:rsidR="00DD6F59">
              <w:rPr>
                <w:noProof/>
                <w:webHidden/>
              </w:rPr>
              <w:fldChar w:fldCharType="begin"/>
            </w:r>
            <w:r w:rsidR="00DD6F59">
              <w:rPr>
                <w:noProof/>
                <w:webHidden/>
              </w:rPr>
              <w:instrText xml:space="preserve"> PAGEREF _Toc38389775 \h </w:instrText>
            </w:r>
            <w:r w:rsidR="00DD6F59">
              <w:rPr>
                <w:noProof/>
                <w:webHidden/>
              </w:rPr>
            </w:r>
            <w:r w:rsidR="00DD6F59">
              <w:rPr>
                <w:noProof/>
                <w:webHidden/>
              </w:rPr>
              <w:fldChar w:fldCharType="separate"/>
            </w:r>
            <w:r w:rsidR="00DD6F59">
              <w:rPr>
                <w:noProof/>
                <w:webHidden/>
              </w:rPr>
              <w:t>13</w:t>
            </w:r>
            <w:r w:rsidR="00DD6F59">
              <w:rPr>
                <w:noProof/>
                <w:webHidden/>
              </w:rPr>
              <w:fldChar w:fldCharType="end"/>
            </w:r>
          </w:hyperlink>
        </w:p>
        <w:p w14:paraId="3BA16D7E" w14:textId="1B954129" w:rsidR="00DD6F59" w:rsidRDefault="00DC6DA7">
          <w:pPr>
            <w:pStyle w:val="TOC2"/>
            <w:tabs>
              <w:tab w:val="left" w:pos="720"/>
              <w:tab w:val="right" w:leader="dot" w:pos="9622"/>
            </w:tabs>
            <w:rPr>
              <w:rFonts w:eastAsiaTheme="minorEastAsia" w:cstheme="minorBidi"/>
              <w:b/>
              <w:bCs/>
              <w:noProof/>
              <w:sz w:val="24"/>
              <w:szCs w:val="24"/>
            </w:rPr>
          </w:pPr>
          <w:hyperlink w:anchor="_Toc38389776" w:history="1">
            <w:r w:rsidR="00DD6F59" w:rsidRPr="00197C1E">
              <w:rPr>
                <w:rStyle w:val="Hyperlink"/>
                <w:noProof/>
              </w:rPr>
              <w:t>a)</w:t>
            </w:r>
            <w:r w:rsidR="00DD6F59">
              <w:rPr>
                <w:rFonts w:eastAsiaTheme="minorEastAsia" w:cstheme="minorBidi"/>
                <w:b/>
                <w:bCs/>
                <w:noProof/>
                <w:sz w:val="24"/>
                <w:szCs w:val="24"/>
              </w:rPr>
              <w:tab/>
            </w:r>
            <w:r w:rsidR="00DD6F59" w:rsidRPr="00197C1E">
              <w:rPr>
                <w:rStyle w:val="Hyperlink"/>
                <w:noProof/>
              </w:rPr>
              <w:t>The Layered Approach to Vulnerability</w:t>
            </w:r>
            <w:r w:rsidR="00DD6F59">
              <w:rPr>
                <w:noProof/>
                <w:webHidden/>
              </w:rPr>
              <w:tab/>
            </w:r>
            <w:r w:rsidR="00DD6F59">
              <w:rPr>
                <w:noProof/>
                <w:webHidden/>
              </w:rPr>
              <w:fldChar w:fldCharType="begin"/>
            </w:r>
            <w:r w:rsidR="00DD6F59">
              <w:rPr>
                <w:noProof/>
                <w:webHidden/>
              </w:rPr>
              <w:instrText xml:space="preserve"> PAGEREF _Toc38389776 \h </w:instrText>
            </w:r>
            <w:r w:rsidR="00DD6F59">
              <w:rPr>
                <w:noProof/>
                <w:webHidden/>
              </w:rPr>
            </w:r>
            <w:r w:rsidR="00DD6F59">
              <w:rPr>
                <w:noProof/>
                <w:webHidden/>
              </w:rPr>
              <w:fldChar w:fldCharType="separate"/>
            </w:r>
            <w:r w:rsidR="00DD6F59">
              <w:rPr>
                <w:noProof/>
                <w:webHidden/>
              </w:rPr>
              <w:t>13</w:t>
            </w:r>
            <w:r w:rsidR="00DD6F59">
              <w:rPr>
                <w:noProof/>
                <w:webHidden/>
              </w:rPr>
              <w:fldChar w:fldCharType="end"/>
            </w:r>
          </w:hyperlink>
        </w:p>
        <w:p w14:paraId="3AF23F42" w14:textId="1317A34C" w:rsidR="00DD6F59" w:rsidRDefault="00DC6DA7">
          <w:pPr>
            <w:pStyle w:val="TOC2"/>
            <w:tabs>
              <w:tab w:val="left" w:pos="720"/>
              <w:tab w:val="right" w:leader="dot" w:pos="9622"/>
            </w:tabs>
            <w:rPr>
              <w:rFonts w:eastAsiaTheme="minorEastAsia" w:cstheme="minorBidi"/>
              <w:b/>
              <w:bCs/>
              <w:noProof/>
              <w:sz w:val="24"/>
              <w:szCs w:val="24"/>
            </w:rPr>
          </w:pPr>
          <w:hyperlink w:anchor="_Toc38389777" w:history="1">
            <w:r w:rsidR="00DD6F59" w:rsidRPr="00197C1E">
              <w:rPr>
                <w:rStyle w:val="Hyperlink"/>
                <w:noProof/>
              </w:rPr>
              <w:t>b)</w:t>
            </w:r>
            <w:r w:rsidR="00DD6F59">
              <w:rPr>
                <w:rFonts w:eastAsiaTheme="minorEastAsia" w:cstheme="minorBidi"/>
                <w:b/>
                <w:bCs/>
                <w:noProof/>
                <w:sz w:val="24"/>
                <w:szCs w:val="24"/>
              </w:rPr>
              <w:tab/>
            </w:r>
            <w:r w:rsidR="00DD6F59" w:rsidRPr="00197C1E">
              <w:rPr>
                <w:rStyle w:val="Hyperlink"/>
                <w:noProof/>
              </w:rPr>
              <w:t>Possible Interventions in the Basic Income Pilot</w:t>
            </w:r>
            <w:r w:rsidR="00DD6F59">
              <w:rPr>
                <w:noProof/>
                <w:webHidden/>
              </w:rPr>
              <w:tab/>
            </w:r>
            <w:r w:rsidR="00DD6F59">
              <w:rPr>
                <w:noProof/>
                <w:webHidden/>
              </w:rPr>
              <w:fldChar w:fldCharType="begin"/>
            </w:r>
            <w:r w:rsidR="00DD6F59">
              <w:rPr>
                <w:noProof/>
                <w:webHidden/>
              </w:rPr>
              <w:instrText xml:space="preserve"> PAGEREF _Toc38389777 \h </w:instrText>
            </w:r>
            <w:r w:rsidR="00DD6F59">
              <w:rPr>
                <w:noProof/>
                <w:webHidden/>
              </w:rPr>
            </w:r>
            <w:r w:rsidR="00DD6F59">
              <w:rPr>
                <w:noProof/>
                <w:webHidden/>
              </w:rPr>
              <w:fldChar w:fldCharType="separate"/>
            </w:r>
            <w:r w:rsidR="00DD6F59">
              <w:rPr>
                <w:noProof/>
                <w:webHidden/>
              </w:rPr>
              <w:t>14</w:t>
            </w:r>
            <w:r w:rsidR="00DD6F59">
              <w:rPr>
                <w:noProof/>
                <w:webHidden/>
              </w:rPr>
              <w:fldChar w:fldCharType="end"/>
            </w:r>
          </w:hyperlink>
        </w:p>
        <w:p w14:paraId="7A71A190" w14:textId="1DDB7B3B" w:rsidR="00DD6F59" w:rsidRDefault="00DC6DA7">
          <w:pPr>
            <w:pStyle w:val="TOC2"/>
            <w:tabs>
              <w:tab w:val="left" w:pos="720"/>
              <w:tab w:val="right" w:leader="dot" w:pos="9622"/>
            </w:tabs>
            <w:rPr>
              <w:rFonts w:eastAsiaTheme="minorEastAsia" w:cstheme="minorBidi"/>
              <w:b/>
              <w:bCs/>
              <w:noProof/>
              <w:sz w:val="24"/>
              <w:szCs w:val="24"/>
            </w:rPr>
          </w:pPr>
          <w:hyperlink w:anchor="_Toc38389778" w:history="1">
            <w:r w:rsidR="00DD6F59" w:rsidRPr="00197C1E">
              <w:rPr>
                <w:rStyle w:val="Hyperlink"/>
                <w:noProof/>
              </w:rPr>
              <w:t>c)</w:t>
            </w:r>
            <w:r w:rsidR="00DD6F59">
              <w:rPr>
                <w:rFonts w:eastAsiaTheme="minorEastAsia" w:cstheme="minorBidi"/>
                <w:b/>
                <w:bCs/>
                <w:noProof/>
                <w:sz w:val="24"/>
                <w:szCs w:val="24"/>
              </w:rPr>
              <w:tab/>
            </w:r>
            <w:r w:rsidR="00DD6F59" w:rsidRPr="00197C1E">
              <w:rPr>
                <w:rStyle w:val="Hyperlink"/>
                <w:noProof/>
              </w:rPr>
              <w:t>Objections</w:t>
            </w:r>
            <w:r w:rsidR="00DD6F59">
              <w:rPr>
                <w:noProof/>
                <w:webHidden/>
              </w:rPr>
              <w:tab/>
            </w:r>
            <w:r w:rsidR="00DD6F59">
              <w:rPr>
                <w:noProof/>
                <w:webHidden/>
              </w:rPr>
              <w:fldChar w:fldCharType="begin"/>
            </w:r>
            <w:r w:rsidR="00DD6F59">
              <w:rPr>
                <w:noProof/>
                <w:webHidden/>
              </w:rPr>
              <w:instrText xml:space="preserve"> PAGEREF _Toc38389778 \h </w:instrText>
            </w:r>
            <w:r w:rsidR="00DD6F59">
              <w:rPr>
                <w:noProof/>
                <w:webHidden/>
              </w:rPr>
            </w:r>
            <w:r w:rsidR="00DD6F59">
              <w:rPr>
                <w:noProof/>
                <w:webHidden/>
              </w:rPr>
              <w:fldChar w:fldCharType="separate"/>
            </w:r>
            <w:r w:rsidR="00DD6F59">
              <w:rPr>
                <w:noProof/>
                <w:webHidden/>
              </w:rPr>
              <w:t>14</w:t>
            </w:r>
            <w:r w:rsidR="00DD6F59">
              <w:rPr>
                <w:noProof/>
                <w:webHidden/>
              </w:rPr>
              <w:fldChar w:fldCharType="end"/>
            </w:r>
          </w:hyperlink>
        </w:p>
        <w:p w14:paraId="7450024D" w14:textId="0D4507A7" w:rsidR="00DD6F59" w:rsidRDefault="00DC6DA7">
          <w:pPr>
            <w:pStyle w:val="TOC1"/>
            <w:tabs>
              <w:tab w:val="left" w:pos="480"/>
              <w:tab w:val="right" w:leader="dot" w:pos="9622"/>
            </w:tabs>
            <w:rPr>
              <w:rFonts w:eastAsiaTheme="minorEastAsia" w:cstheme="minorBidi"/>
              <w:b w:val="0"/>
              <w:bCs w:val="0"/>
              <w:i/>
              <w:iCs/>
              <w:noProof/>
            </w:rPr>
          </w:pPr>
          <w:hyperlink w:anchor="_Toc38389779" w:history="1">
            <w:r w:rsidR="00DD6F59" w:rsidRPr="00197C1E">
              <w:rPr>
                <w:rStyle w:val="Hyperlink"/>
                <w:noProof/>
              </w:rPr>
              <w:t>5.</w:t>
            </w:r>
            <w:r w:rsidR="00DD6F59">
              <w:rPr>
                <w:rFonts w:eastAsiaTheme="minorEastAsia" w:cstheme="minorBidi"/>
                <w:b w:val="0"/>
                <w:bCs w:val="0"/>
                <w:i/>
                <w:iCs/>
                <w:noProof/>
              </w:rPr>
              <w:tab/>
            </w:r>
            <w:r w:rsidR="00DD6F59" w:rsidRPr="00197C1E">
              <w:rPr>
                <w:rStyle w:val="Hyperlink"/>
                <w:noProof/>
              </w:rPr>
              <w:t>Conclusion</w:t>
            </w:r>
            <w:r w:rsidR="00DD6F59">
              <w:rPr>
                <w:noProof/>
                <w:webHidden/>
              </w:rPr>
              <w:tab/>
            </w:r>
            <w:r w:rsidR="00DD6F59">
              <w:rPr>
                <w:noProof/>
                <w:webHidden/>
              </w:rPr>
              <w:fldChar w:fldCharType="begin"/>
            </w:r>
            <w:r w:rsidR="00DD6F59">
              <w:rPr>
                <w:noProof/>
                <w:webHidden/>
              </w:rPr>
              <w:instrText xml:space="preserve"> PAGEREF _Toc38389779 \h </w:instrText>
            </w:r>
            <w:r w:rsidR="00DD6F59">
              <w:rPr>
                <w:noProof/>
                <w:webHidden/>
              </w:rPr>
            </w:r>
            <w:r w:rsidR="00DD6F59">
              <w:rPr>
                <w:noProof/>
                <w:webHidden/>
              </w:rPr>
              <w:fldChar w:fldCharType="separate"/>
            </w:r>
            <w:r w:rsidR="00DD6F59">
              <w:rPr>
                <w:noProof/>
                <w:webHidden/>
              </w:rPr>
              <w:t>16</w:t>
            </w:r>
            <w:r w:rsidR="00DD6F59">
              <w:rPr>
                <w:noProof/>
                <w:webHidden/>
              </w:rPr>
              <w:fldChar w:fldCharType="end"/>
            </w:r>
          </w:hyperlink>
        </w:p>
        <w:p w14:paraId="5D576CCA" w14:textId="2C433C74" w:rsidR="00DD6F59" w:rsidRDefault="00DD6F59">
          <w:r>
            <w:rPr>
              <w:b/>
              <w:bCs/>
              <w:noProof/>
            </w:rPr>
            <w:fldChar w:fldCharType="end"/>
          </w:r>
        </w:p>
      </w:sdtContent>
    </w:sdt>
    <w:p w14:paraId="14E3192F" w14:textId="73865D2E" w:rsidR="00997FB9" w:rsidRDefault="00997FB9" w:rsidP="001A65DB">
      <w:pPr>
        <w:spacing w:line="480" w:lineRule="auto"/>
        <w:rPr>
          <w:rFonts w:ascii="Helvetica" w:hAnsi="Helvetica"/>
        </w:rPr>
      </w:pPr>
    </w:p>
    <w:p w14:paraId="04B1B410" w14:textId="30557127" w:rsidR="00997FB9" w:rsidRDefault="00997FB9" w:rsidP="001A65DB">
      <w:pPr>
        <w:spacing w:line="480" w:lineRule="auto"/>
        <w:rPr>
          <w:rFonts w:ascii="Helvetica" w:hAnsi="Helvetica"/>
        </w:rPr>
      </w:pPr>
    </w:p>
    <w:p w14:paraId="58E2A681" w14:textId="0648CB74" w:rsidR="00997FB9" w:rsidRDefault="00997FB9" w:rsidP="001A65DB">
      <w:pPr>
        <w:spacing w:line="480" w:lineRule="auto"/>
        <w:rPr>
          <w:rFonts w:ascii="Helvetica" w:hAnsi="Helvetica"/>
        </w:rPr>
      </w:pPr>
    </w:p>
    <w:p w14:paraId="31B1DCEF" w14:textId="7CDCD5E4" w:rsidR="00997FB9" w:rsidRDefault="00997FB9" w:rsidP="001A65DB">
      <w:pPr>
        <w:spacing w:line="480" w:lineRule="auto"/>
        <w:rPr>
          <w:rFonts w:ascii="Helvetica" w:hAnsi="Helvetica"/>
        </w:rPr>
      </w:pPr>
    </w:p>
    <w:p w14:paraId="3F067CD2" w14:textId="2E273E30" w:rsidR="00997FB9" w:rsidRDefault="00997FB9" w:rsidP="001A65DB">
      <w:pPr>
        <w:spacing w:line="480" w:lineRule="auto"/>
        <w:rPr>
          <w:rFonts w:ascii="Helvetica" w:hAnsi="Helvetica"/>
        </w:rPr>
      </w:pPr>
    </w:p>
    <w:p w14:paraId="32897614" w14:textId="49AB9891" w:rsidR="00997FB9" w:rsidRDefault="00997FB9" w:rsidP="001A65DB">
      <w:pPr>
        <w:spacing w:line="480" w:lineRule="auto"/>
        <w:rPr>
          <w:rFonts w:ascii="Helvetica" w:hAnsi="Helvetica"/>
        </w:rPr>
      </w:pPr>
    </w:p>
    <w:p w14:paraId="5708DA00" w14:textId="54514671" w:rsidR="00997FB9" w:rsidRDefault="00997FB9" w:rsidP="001A65DB">
      <w:pPr>
        <w:spacing w:line="480" w:lineRule="auto"/>
        <w:rPr>
          <w:rFonts w:ascii="Helvetica" w:hAnsi="Helvetica"/>
        </w:rPr>
      </w:pPr>
    </w:p>
    <w:p w14:paraId="4D083CCF" w14:textId="40CCDBB1" w:rsidR="00997FB9" w:rsidRDefault="00997FB9" w:rsidP="001A65DB">
      <w:pPr>
        <w:spacing w:line="480" w:lineRule="auto"/>
        <w:rPr>
          <w:rFonts w:ascii="Helvetica" w:hAnsi="Helvetica"/>
        </w:rPr>
      </w:pPr>
    </w:p>
    <w:p w14:paraId="0E14F0B7" w14:textId="6537465E" w:rsidR="00997FB9" w:rsidRDefault="00997FB9" w:rsidP="001A65DB">
      <w:pPr>
        <w:spacing w:line="480" w:lineRule="auto"/>
        <w:rPr>
          <w:rFonts w:ascii="Helvetica" w:hAnsi="Helvetica"/>
        </w:rPr>
      </w:pPr>
    </w:p>
    <w:p w14:paraId="14936615" w14:textId="3B306804" w:rsidR="00997FB9" w:rsidRDefault="00997FB9" w:rsidP="001A65DB">
      <w:pPr>
        <w:spacing w:line="480" w:lineRule="auto"/>
        <w:rPr>
          <w:rFonts w:ascii="Helvetica" w:hAnsi="Helvetica"/>
        </w:rPr>
      </w:pPr>
    </w:p>
    <w:p w14:paraId="4B1326E9" w14:textId="6907D6E2" w:rsidR="00997FB9" w:rsidRDefault="00997FB9" w:rsidP="001A65DB">
      <w:pPr>
        <w:spacing w:line="480" w:lineRule="auto"/>
        <w:rPr>
          <w:rFonts w:ascii="Helvetica" w:hAnsi="Helvetica"/>
        </w:rPr>
      </w:pPr>
    </w:p>
    <w:p w14:paraId="752883FF" w14:textId="02500E1B" w:rsidR="00DD6F59" w:rsidRDefault="00DD6F59" w:rsidP="001A65DB">
      <w:pPr>
        <w:spacing w:line="480" w:lineRule="auto"/>
        <w:rPr>
          <w:rFonts w:ascii="Helvetica" w:hAnsi="Helvetica"/>
        </w:rPr>
      </w:pPr>
    </w:p>
    <w:p w14:paraId="5439D32F" w14:textId="77777777" w:rsidR="00DD6F59" w:rsidRPr="001A65DB" w:rsidRDefault="00DD6F59" w:rsidP="001A65DB">
      <w:pPr>
        <w:spacing w:line="480" w:lineRule="auto"/>
        <w:rPr>
          <w:rFonts w:ascii="Helvetica" w:hAnsi="Helvetica"/>
        </w:rPr>
      </w:pPr>
    </w:p>
    <w:p w14:paraId="74DDA770" w14:textId="318E4EE9" w:rsidR="00033C67" w:rsidRPr="00A0612A" w:rsidRDefault="00033C67" w:rsidP="00A0612A">
      <w:pPr>
        <w:pStyle w:val="Heading1"/>
      </w:pPr>
      <w:bookmarkStart w:id="0" w:name="_Toc438234903"/>
      <w:bookmarkStart w:id="1" w:name="_Toc38389767"/>
      <w:r w:rsidRPr="00A0612A">
        <w:t>Introduction</w:t>
      </w:r>
      <w:bookmarkEnd w:id="0"/>
      <w:bookmarkEnd w:id="1"/>
    </w:p>
    <w:p w14:paraId="35E49F01" w14:textId="77777777" w:rsidR="003879F0" w:rsidRDefault="003879F0" w:rsidP="003879F0"/>
    <w:p w14:paraId="0E8C204C" w14:textId="40EB007D" w:rsidR="0033336F" w:rsidRDefault="0033336F" w:rsidP="0033336F">
      <w:pPr>
        <w:spacing w:line="480" w:lineRule="auto"/>
      </w:pPr>
      <w:r>
        <w:t xml:space="preserve">On July 31, 2018, the Government of Ontario </w:t>
      </w:r>
      <w:r w:rsidR="00A0612A">
        <w:t xml:space="preserve">(“the provincial government”) </w:t>
      </w:r>
      <w:r>
        <w:t>announced the cancellation of its basic income pilot research study (“the basic income pilot”), indicating that the basic income pilot did not “help people to become ‘independent contributors to the economy,</w:t>
      </w:r>
      <w:r w:rsidR="00D65287">
        <w:t>’</w:t>
      </w:r>
      <w:r>
        <w:t>” and that it was a “disincentive to get people back on track.”</w:t>
      </w:r>
      <w:r w:rsidR="00B50736">
        <w:rPr>
          <w:rStyle w:val="FootnoteReference"/>
        </w:rPr>
        <w:footnoteReference w:id="2"/>
      </w:r>
      <w:r>
        <w:t xml:space="preserve"> In so doing, the Government begged questions with regard to the efficacy of the basic income pilot, but also implicitly with regard to the ethics of its cancellation.  The ethical concerns raised in the wake of the cancellation ranged from those that would be obvious to even the casual observer, such as the government’s admission that it had backtracked on its election campaign promise to keep the basic income pilot in place,</w:t>
      </w:r>
      <w:r w:rsidR="00B50736">
        <w:rPr>
          <w:rStyle w:val="FootnoteReference"/>
        </w:rPr>
        <w:footnoteReference w:id="3"/>
      </w:r>
      <w:r>
        <w:t xml:space="preserve"> to less obvious questions regarding research ethics.  With regard to the latter, various policy instruments identify the group of </w:t>
      </w:r>
      <w:r w:rsidR="00E177D3">
        <w:t xml:space="preserve">basic income pilot </w:t>
      </w:r>
      <w:r>
        <w:t xml:space="preserve">participants as being members of a vulnerable group, and thus in need of special protections, but it is unclear how their vulnerability(ies) should be identified and then applied to the ethical questions around the basic income pilot and its cancellation. </w:t>
      </w:r>
    </w:p>
    <w:p w14:paraId="30BFB9A2" w14:textId="3E4617ED" w:rsidR="0033336F" w:rsidRDefault="0033336F" w:rsidP="0033336F">
      <w:pPr>
        <w:spacing w:line="480" w:lineRule="auto"/>
      </w:pPr>
    </w:p>
    <w:p w14:paraId="46415444" w14:textId="386E884A" w:rsidR="0033336F" w:rsidRDefault="00731A22" w:rsidP="000221E7">
      <w:pPr>
        <w:spacing w:line="480" w:lineRule="auto"/>
      </w:pPr>
      <w:r>
        <w:t xml:space="preserve">In this paper, I will argue that </w:t>
      </w:r>
      <w:r w:rsidR="006F600F">
        <w:t>a formalistic claims-based approach to vulnerability in research ethics</w:t>
      </w:r>
      <w:r>
        <w:t xml:space="preserve">, as exemplified by </w:t>
      </w:r>
      <w:r w:rsidR="000221E7">
        <w:t>expert opinions</w:t>
      </w:r>
      <w:r w:rsidR="006F600F">
        <w:t xml:space="preserve"> </w:t>
      </w:r>
      <w:r w:rsidR="000221E7">
        <w:t xml:space="preserve">offered </w:t>
      </w:r>
      <w:r w:rsidR="006F600F">
        <w:t>in support of the provincial government decision to cancel the basic income pilot</w:t>
      </w:r>
      <w:r>
        <w:t>,</w:t>
      </w:r>
      <w:r w:rsidR="006F600F">
        <w:t xml:space="preserve"> fails to capture all </w:t>
      </w:r>
      <w:r w:rsidR="000221E7">
        <w:t xml:space="preserve">of the </w:t>
      </w:r>
      <w:r w:rsidR="006F600F">
        <w:t xml:space="preserve">relevant ethical considerations with regard to </w:t>
      </w:r>
      <w:r w:rsidR="000221E7">
        <w:t xml:space="preserve">harms experienced by vulnerable participants. I will suggest that </w:t>
      </w:r>
      <w:r w:rsidR="0019201D">
        <w:t xml:space="preserve">a better approach -- one which </w:t>
      </w:r>
      <w:r w:rsidR="0019201D">
        <w:lastRenderedPageBreak/>
        <w:t xml:space="preserve">would also capture some of </w:t>
      </w:r>
      <w:r w:rsidR="000221E7">
        <w:t>these excluded ethical considerations</w:t>
      </w:r>
      <w:r w:rsidR="0019201D">
        <w:t xml:space="preserve"> --</w:t>
      </w:r>
      <w:r w:rsidR="000221E7">
        <w:t xml:space="preserve"> </w:t>
      </w:r>
      <w:r w:rsidR="0019201D">
        <w:t>is based on the layered conception of ‘vulnerability’</w:t>
      </w:r>
      <w:r w:rsidR="000221E7">
        <w:t xml:space="preserve"> </w:t>
      </w:r>
      <w:r w:rsidR="0019201D">
        <w:t xml:space="preserve">as </w:t>
      </w:r>
      <w:r w:rsidR="000221E7">
        <w:t xml:space="preserve">developed </w:t>
      </w:r>
      <w:r w:rsidR="0033336F">
        <w:t>by Florencia Luna.</w:t>
      </w:r>
      <w:r w:rsidR="00B50736">
        <w:rPr>
          <w:rStyle w:val="FootnoteReference"/>
        </w:rPr>
        <w:footnoteReference w:id="4"/>
      </w:r>
    </w:p>
    <w:p w14:paraId="534A9B6E" w14:textId="77777777" w:rsidR="0033336F" w:rsidRDefault="0033336F" w:rsidP="0033336F">
      <w:pPr>
        <w:spacing w:line="480" w:lineRule="auto"/>
      </w:pPr>
    </w:p>
    <w:p w14:paraId="4B8F552B" w14:textId="2C7ABEFF" w:rsidR="001E2B42" w:rsidRPr="00B2374C" w:rsidRDefault="0033336F" w:rsidP="001E2B42">
      <w:pPr>
        <w:spacing w:line="480" w:lineRule="auto"/>
      </w:pPr>
      <w:r>
        <w:t>The paper will begin with a description of the</w:t>
      </w:r>
      <w:r w:rsidR="00D01E15">
        <w:t xml:space="preserve"> judicial review decision regarding the cancellation of the </w:t>
      </w:r>
      <w:r>
        <w:t xml:space="preserve">basic income pilot, as well as </w:t>
      </w:r>
      <w:r w:rsidR="00D01E15">
        <w:t>the expert ethical evidence proffered by the parties</w:t>
      </w:r>
      <w:r>
        <w:t xml:space="preserve"> regarding </w:t>
      </w:r>
      <w:r w:rsidR="00D01E15">
        <w:t>the</w:t>
      </w:r>
      <w:r>
        <w:t xml:space="preserve"> cancellation.  </w:t>
      </w:r>
      <w:r w:rsidR="0019201D">
        <w:t xml:space="preserve">In the second section, </w:t>
      </w:r>
      <w:r w:rsidR="00D01E15">
        <w:t>I wil</w:t>
      </w:r>
      <w:r w:rsidR="0019201D">
        <w:t>l</w:t>
      </w:r>
      <w:r w:rsidR="00D01E15">
        <w:t xml:space="preserve"> describe the claims-based approach to special protection regarding vulnerability as developed by Samia A. Hurst and suggest that such an approach, as followed by the </w:t>
      </w:r>
      <w:r w:rsidR="0019201D">
        <w:t xml:space="preserve">provincial government’s </w:t>
      </w:r>
      <w:r w:rsidR="00D01E15">
        <w:t>expert affiants, brackets</w:t>
      </w:r>
      <w:r w:rsidR="001E2B42">
        <w:rPr>
          <w:rStyle w:val="FootnoteReference"/>
        </w:rPr>
        <w:footnoteReference w:id="5"/>
      </w:r>
      <w:r w:rsidR="00D01E15">
        <w:t xml:space="preserve"> relevant ethical considerations.</w:t>
      </w:r>
      <w:r w:rsidR="001E2B42" w:rsidRPr="001E2B42">
        <w:rPr>
          <w:rStyle w:val="FootnoteReference"/>
        </w:rPr>
        <w:t xml:space="preserve"> </w:t>
      </w:r>
      <w:r w:rsidR="001E2B42">
        <w:rPr>
          <w:rStyle w:val="FootnoteReference"/>
        </w:rPr>
        <w:footnoteReference w:id="6"/>
      </w:r>
      <w:r w:rsidR="00D01E15">
        <w:t xml:space="preserve">  I will </w:t>
      </w:r>
      <w:r w:rsidR="0019201D">
        <w:t>also</w:t>
      </w:r>
      <w:r w:rsidR="00D01E15">
        <w:t xml:space="preserve"> discuss the concept of clinical equipoise and </w:t>
      </w:r>
      <w:r w:rsidR="001E2B42">
        <w:t xml:space="preserve">show how a formalistic application of that concept is also used to foreclose ethical inquiry with regard to the basic income pilot.  In the </w:t>
      </w:r>
      <w:r w:rsidR="004A2B8A">
        <w:t>third</w:t>
      </w:r>
      <w:r w:rsidR="001E2B42">
        <w:t xml:space="preserve"> section, I will show the ways in which Luna’s layered approach to vulnerability, while not addressing </w:t>
      </w:r>
      <w:r w:rsidR="004A2B8A">
        <w:t>every</w:t>
      </w:r>
      <w:r w:rsidR="001E2B42">
        <w:t xml:space="preserve"> ethical consideration, goes much further than a taxonomic or claims-based approach in addressing the ethical concerns of basic income pilot participants, </w:t>
      </w:r>
      <w:r w:rsidR="0019201D">
        <w:t xml:space="preserve">also </w:t>
      </w:r>
      <w:r w:rsidR="001E2B42">
        <w:t xml:space="preserve">showing how that approach might have been applied to address predictable vulnerabilities of the participants.  I will </w:t>
      </w:r>
      <w:r w:rsidR="004A2B8A">
        <w:t xml:space="preserve">then </w:t>
      </w:r>
      <w:r w:rsidR="001E2B42">
        <w:t>revisit the objections to these ethical consideration</w:t>
      </w:r>
      <w:r w:rsidR="0019201D">
        <w:t>s</w:t>
      </w:r>
      <w:r w:rsidR="001E2B42">
        <w:t xml:space="preserve"> from </w:t>
      </w:r>
      <w:r w:rsidR="0019201D">
        <w:t>a</w:t>
      </w:r>
      <w:r w:rsidR="001E2B42">
        <w:t xml:space="preserve"> Hurstian claim-based perspective.</w:t>
      </w:r>
    </w:p>
    <w:p w14:paraId="53078A31" w14:textId="03B2AF4B" w:rsidR="005C060A" w:rsidRDefault="00B50736" w:rsidP="001E2B42">
      <w:pPr>
        <w:pStyle w:val="Heading1"/>
      </w:pPr>
      <w:bookmarkStart w:id="2" w:name="_Toc38389768"/>
      <w:r>
        <w:lastRenderedPageBreak/>
        <w:t xml:space="preserve">Bowman </w:t>
      </w:r>
      <w:r w:rsidR="003C691C">
        <w:t>et al. v. Her Majesty the Queen</w:t>
      </w:r>
      <w:r w:rsidR="00B15511">
        <w:t xml:space="preserve"> (“</w:t>
      </w:r>
      <w:r w:rsidR="00B15511" w:rsidRPr="00B15511">
        <w:rPr>
          <w:i/>
          <w:iCs/>
        </w:rPr>
        <w:t>Bowman</w:t>
      </w:r>
      <w:r w:rsidR="00B15511">
        <w:t>”)</w:t>
      </w:r>
      <w:bookmarkEnd w:id="2"/>
    </w:p>
    <w:p w14:paraId="0C1A7F76" w14:textId="3F398607" w:rsidR="00B2374C" w:rsidRPr="00B2374C" w:rsidRDefault="008B3BF8" w:rsidP="00B2374C">
      <w:pPr>
        <w:pStyle w:val="Heading2"/>
      </w:pPr>
      <w:bookmarkStart w:id="3" w:name="_Toc38389769"/>
      <w:r>
        <w:t>The Legal Decision</w:t>
      </w:r>
      <w:bookmarkEnd w:id="3"/>
    </w:p>
    <w:p w14:paraId="07345353" w14:textId="7E7FAC88" w:rsidR="00B2374C" w:rsidRDefault="00B2374C" w:rsidP="003879F0">
      <w:pPr>
        <w:spacing w:line="480" w:lineRule="auto"/>
      </w:pPr>
      <w:r>
        <w:t>In the wake of the cancellation of the basic income pilot a number of participants sought judicial review of th</w:t>
      </w:r>
      <w:r w:rsidR="00D65287">
        <w:t>at</w:t>
      </w:r>
      <w:r>
        <w:t xml:space="preserve"> provincial government decision</w:t>
      </w:r>
      <w:r w:rsidR="008B3BF8">
        <w:t>,</w:t>
      </w:r>
      <w:r w:rsidR="00857E54">
        <w:rPr>
          <w:rStyle w:val="FootnoteReference"/>
        </w:rPr>
        <w:footnoteReference w:id="7"/>
      </w:r>
      <w:r>
        <w:t xml:space="preserve">  argu</w:t>
      </w:r>
      <w:r w:rsidR="008B3BF8">
        <w:t>ing</w:t>
      </w:r>
      <w:r>
        <w:t xml:space="preserve"> that they had relied on the basic income pilot to their detriment, </w:t>
      </w:r>
      <w:r w:rsidR="006E7C4A">
        <w:t xml:space="preserve">and </w:t>
      </w:r>
      <w:r w:rsidR="00D65287">
        <w:t xml:space="preserve">also </w:t>
      </w:r>
      <w:r>
        <w:t xml:space="preserve">that the decision </w:t>
      </w:r>
      <w:r w:rsidR="006E7C4A">
        <w:t xml:space="preserve">was </w:t>
      </w:r>
      <w:r w:rsidR="00D65287">
        <w:t xml:space="preserve">an </w:t>
      </w:r>
      <w:r w:rsidR="006E7C4A">
        <w:t>irrational</w:t>
      </w:r>
      <w:r w:rsidR="00D65287">
        <w:t xml:space="preserve"> one</w:t>
      </w:r>
      <w:r w:rsidR="006E7C4A">
        <w:t xml:space="preserve">, made in bad faith, </w:t>
      </w:r>
      <w:r w:rsidR="0019201D">
        <w:t>that</w:t>
      </w:r>
      <w:r w:rsidR="00D65287">
        <w:t xml:space="preserve"> </w:t>
      </w:r>
      <w:r>
        <w:t>affected their financial inte</w:t>
      </w:r>
      <w:r w:rsidR="00857E54">
        <w:t>r</w:t>
      </w:r>
      <w:r>
        <w:t>est</w:t>
      </w:r>
      <w:r w:rsidR="00857E54">
        <w:t>s and</w:t>
      </w:r>
      <w:r>
        <w:t xml:space="preserve"> their well-being</w:t>
      </w:r>
      <w:r w:rsidR="006E7C4A">
        <w:t>.</w:t>
      </w:r>
      <w:r w:rsidR="00857E54">
        <w:t xml:space="preserve"> They further argued that the provincial government had breached their agreement with the Independent Review Board (“IRB”) which required them to consult with the IRB “and adhere to the terms of the agreement.”</w:t>
      </w:r>
      <w:r w:rsidR="00857E54">
        <w:rPr>
          <w:rStyle w:val="FootnoteReference"/>
        </w:rPr>
        <w:footnoteReference w:id="8"/>
      </w:r>
      <w:r>
        <w:t xml:space="preserve"> </w:t>
      </w:r>
      <w:r w:rsidR="00D076A8">
        <w:t xml:space="preserve">  The Respondent provincial government argued that the decision with regard to the cancellation was “no</w:t>
      </w:r>
      <w:r w:rsidR="006E7C4A">
        <w:t>t</w:t>
      </w:r>
      <w:r w:rsidR="00D076A8">
        <w:t xml:space="preserve"> justiciable” because it involved a policy decision on government spending</w:t>
      </w:r>
      <w:r w:rsidR="0019201D">
        <w:t xml:space="preserve">, and that a decision to quash would require a continuation of funding which the Court would not have authority to do. </w:t>
      </w:r>
      <w:r w:rsidR="00D076A8">
        <w:t xml:space="preserve"> In the alternative, </w:t>
      </w:r>
      <w:r w:rsidR="00814644">
        <w:t xml:space="preserve">the Respondent argued that </w:t>
      </w:r>
      <w:r w:rsidR="00D076A8">
        <w:t xml:space="preserve">the decision was not irrational </w:t>
      </w:r>
      <w:r w:rsidR="00E51D2A">
        <w:t>n</w:t>
      </w:r>
      <w:r w:rsidR="00D076A8">
        <w:t>or made in bad faith, that statement</w:t>
      </w:r>
      <w:r w:rsidR="00E51D2A">
        <w:t>s</w:t>
      </w:r>
      <w:r w:rsidR="00D076A8">
        <w:t xml:space="preserve"> made by members of the legislature are not “reasons for the decision”, that the government “had no obligation to consult with [the IRB] prior to cancelling the funding for the Pilot Project”</w:t>
      </w:r>
      <w:r w:rsidR="00E51D2A">
        <w:t xml:space="preserve">, </w:t>
      </w:r>
      <w:r w:rsidR="004A2B8A">
        <w:t xml:space="preserve">and </w:t>
      </w:r>
      <w:r w:rsidR="00E51D2A">
        <w:t>that “the opinions of research ethicists cannot fetter Cabinet’s policy-making authority</w:t>
      </w:r>
      <w:r w:rsidR="00814644">
        <w:t>.</w:t>
      </w:r>
      <w:r w:rsidR="00E51D2A">
        <w:t>”</w:t>
      </w:r>
      <w:r w:rsidR="00E51D2A">
        <w:rPr>
          <w:rStyle w:val="FootnoteReference"/>
        </w:rPr>
        <w:footnoteReference w:id="9"/>
      </w:r>
      <w:r w:rsidR="00D076A8">
        <w:t xml:space="preserve"> </w:t>
      </w:r>
    </w:p>
    <w:p w14:paraId="642F3126" w14:textId="77777777" w:rsidR="00A6028F" w:rsidRDefault="00A6028F" w:rsidP="003879F0">
      <w:pPr>
        <w:spacing w:line="480" w:lineRule="auto"/>
      </w:pPr>
    </w:p>
    <w:p w14:paraId="75F911BF" w14:textId="1E5395E4" w:rsidR="00CF5218" w:rsidRDefault="00CF5218" w:rsidP="003879F0">
      <w:pPr>
        <w:spacing w:line="480" w:lineRule="auto"/>
      </w:pPr>
      <w:r>
        <w:t xml:space="preserve">Although the Court dismissed the application on the basis that the </w:t>
      </w:r>
      <w:r w:rsidR="00814644">
        <w:t>matter</w:t>
      </w:r>
      <w:r>
        <w:t>, described as a “policy decision”, is not justiciable,</w:t>
      </w:r>
      <w:r>
        <w:rPr>
          <w:rStyle w:val="FootnoteReference"/>
        </w:rPr>
        <w:footnoteReference w:id="10"/>
      </w:r>
      <w:r>
        <w:t xml:space="preserve"> it </w:t>
      </w:r>
      <w:r w:rsidR="00814644">
        <w:t xml:space="preserve">also </w:t>
      </w:r>
      <w:r>
        <w:t xml:space="preserve">went on to </w:t>
      </w:r>
      <w:r w:rsidR="00B317D9">
        <w:t>decide</w:t>
      </w:r>
      <w:r w:rsidR="00D65287">
        <w:t xml:space="preserve">: </w:t>
      </w:r>
      <w:r w:rsidR="00B317D9">
        <w:t>that the decision to cancel the basic income pilot did not alter the applicants’ “rights, obligations or legitimate expectations”;</w:t>
      </w:r>
      <w:r w:rsidR="00B317D9">
        <w:rPr>
          <w:rStyle w:val="FootnoteReference"/>
        </w:rPr>
        <w:footnoteReference w:id="11"/>
      </w:r>
      <w:r w:rsidR="00B317D9">
        <w:t xml:space="preserve">  that the decision </w:t>
      </w:r>
      <w:r w:rsidR="00B317D9">
        <w:lastRenderedPageBreak/>
        <w:t>was neither irrational nor made in bad faith;</w:t>
      </w:r>
      <w:r w:rsidR="00B317D9">
        <w:rPr>
          <w:rStyle w:val="FootnoteReference"/>
        </w:rPr>
        <w:footnoteReference w:id="12"/>
      </w:r>
      <w:r w:rsidR="00B317D9">
        <w:t xml:space="preserve">and that the Court did not have the authority to </w:t>
      </w:r>
      <w:r w:rsidR="00F56F2D">
        <w:t xml:space="preserve">quash the government order since to do so would </w:t>
      </w:r>
      <w:r w:rsidR="006F49CD">
        <w:t xml:space="preserve">also </w:t>
      </w:r>
      <w:r w:rsidR="00F56F2D">
        <w:t>“inevitably result in a further allocation of funds to the Pilot Program” and “an order for judicial review cannot compel a particular result.”</w:t>
      </w:r>
      <w:r w:rsidR="00F56F2D">
        <w:rPr>
          <w:rStyle w:val="FootnoteReference"/>
        </w:rPr>
        <w:footnoteReference w:id="13"/>
      </w:r>
    </w:p>
    <w:p w14:paraId="5F04F818" w14:textId="17212DDE" w:rsidR="00AF5059" w:rsidRDefault="006E7C4A" w:rsidP="006E7C4A">
      <w:pPr>
        <w:pStyle w:val="Heading2"/>
      </w:pPr>
      <w:bookmarkStart w:id="4" w:name="_Toc38389770"/>
      <w:r>
        <w:t>The Basic Income Pilot</w:t>
      </w:r>
      <w:bookmarkEnd w:id="4"/>
    </w:p>
    <w:p w14:paraId="44491533" w14:textId="6C6FF044" w:rsidR="00AF5059" w:rsidRDefault="00AF5059" w:rsidP="00AF5059">
      <w:pPr>
        <w:spacing w:line="480" w:lineRule="auto"/>
      </w:pPr>
      <w:r>
        <w:t>The contours of the basic income pilot are set out by the Court as involving a randomized controlled trial “conducted in Hamilton and Thunder Bay with 1,000 participants assigned to a control group and 1,000 participants receiving payments”, while a “saturation site”  in Lindsay</w:t>
      </w:r>
      <w:r w:rsidR="006E7C4A">
        <w:t xml:space="preserve"> </w:t>
      </w:r>
      <w:r>
        <w:t>had 2,000 participants who were all receiving payments.</w:t>
      </w:r>
      <w:r>
        <w:rPr>
          <w:rStyle w:val="FootnoteReference"/>
        </w:rPr>
        <w:footnoteReference w:id="14"/>
      </w:r>
      <w:r>
        <w:t xml:space="preserve">  Those participants enrolled in a the </w:t>
      </w:r>
      <w:r w:rsidR="00D65287">
        <w:t>intervention</w:t>
      </w:r>
      <w:r>
        <w:t xml:space="preserve"> group received “up to $16,989 per year for single person or $24,027 for a couple, plus an additional amount of up to $6,000 per ear for each person with a disability.</w:t>
      </w:r>
      <w:r w:rsidR="006F49CD">
        <w:t>”</w:t>
      </w:r>
      <w:r>
        <w:t xml:space="preserve">  The benefit was clawed back at a rate of 50% for employment income and 100% for other income support programs, while those in receipt of Ontario Disability Support Program or Ontario Works benefits</w:t>
      </w:r>
      <w:r w:rsidR="009906AB">
        <w:rPr>
          <w:rStyle w:val="FootnoteReference"/>
        </w:rPr>
        <w:footnoteReference w:id="15"/>
      </w:r>
      <w:r>
        <w:t xml:space="preserve"> continued “to receive drug and dental benefits.”</w:t>
      </w:r>
      <w:r>
        <w:rPr>
          <w:rStyle w:val="FootnoteReference"/>
        </w:rPr>
        <w:footnoteReference w:id="16"/>
      </w:r>
      <w:r>
        <w:t xml:space="preserve"> </w:t>
      </w:r>
      <w:r w:rsidR="006F49CD">
        <w:t xml:space="preserve">Given that the </w:t>
      </w:r>
      <w:r w:rsidR="007B435C">
        <w:t xml:space="preserve">basic income pilot </w:t>
      </w:r>
      <w:r w:rsidR="00E10068">
        <w:t xml:space="preserve">“was essentially a social science experiment with human participants,” </w:t>
      </w:r>
      <w:r w:rsidR="008E128C">
        <w:t>the provincial government engaged</w:t>
      </w:r>
      <w:r w:rsidR="00DF51E0">
        <w:t xml:space="preserve"> </w:t>
      </w:r>
      <w:r w:rsidR="008E128C">
        <w:t>the previously-mentioned IRB for “’ongoing ethical review of the research study with the Research Participants’ rights and welfare in mind.’”</w:t>
      </w:r>
      <w:r w:rsidR="007B435C">
        <w:t xml:space="preserve"> </w:t>
      </w:r>
      <w:r w:rsidR="00E730F2">
        <w:t xml:space="preserve">  </w:t>
      </w:r>
      <w:r w:rsidR="00DF51E0">
        <w:t>The IRB</w:t>
      </w:r>
      <w:r w:rsidR="00EA7CA3">
        <w:t xml:space="preserve"> made a finding of “Serious Non-Compliance” regarding the provincial government’s cancellation of the basic income pilot, c</w:t>
      </w:r>
      <w:r w:rsidR="006B40D0">
        <w:t>laiming</w:t>
      </w:r>
      <w:r w:rsidR="00EA7CA3">
        <w:t xml:space="preserve">, </w:t>
      </w:r>
      <w:r w:rsidR="00EA7CA3" w:rsidRPr="00EA7CA3">
        <w:rPr>
          <w:i/>
          <w:iCs/>
        </w:rPr>
        <w:t>inter alia</w:t>
      </w:r>
      <w:r w:rsidR="00EA7CA3">
        <w:t>, that “the situation will have profound adverse effects on the rights and welfare of Research Participants.”</w:t>
      </w:r>
      <w:r w:rsidR="00EA7CA3">
        <w:rPr>
          <w:rStyle w:val="FootnoteReference"/>
        </w:rPr>
        <w:footnoteReference w:id="17"/>
      </w:r>
    </w:p>
    <w:p w14:paraId="7057A798" w14:textId="2E5669FF" w:rsidR="009D7AD5" w:rsidRDefault="00DF51E0" w:rsidP="00DF51E0">
      <w:pPr>
        <w:pStyle w:val="Heading2"/>
      </w:pPr>
      <w:bookmarkStart w:id="5" w:name="_Toc38389771"/>
      <w:r>
        <w:lastRenderedPageBreak/>
        <w:t>The Expert Ethical Evidence</w:t>
      </w:r>
      <w:bookmarkEnd w:id="5"/>
    </w:p>
    <w:p w14:paraId="4B110790" w14:textId="6AD6CF7A" w:rsidR="009D7AD5" w:rsidRDefault="00DF51E0" w:rsidP="00AF5059">
      <w:pPr>
        <w:spacing w:line="480" w:lineRule="auto"/>
      </w:pPr>
      <w:r>
        <w:t>T</w:t>
      </w:r>
      <w:r w:rsidR="005110D3">
        <w:t xml:space="preserve">he parties in </w:t>
      </w:r>
      <w:r w:rsidR="005110D3" w:rsidRPr="005110D3">
        <w:rPr>
          <w:i/>
          <w:iCs/>
        </w:rPr>
        <w:t xml:space="preserve">Bowman </w:t>
      </w:r>
      <w:r w:rsidR="00D65287">
        <w:t xml:space="preserve">had </w:t>
      </w:r>
      <w:r w:rsidR="005110D3">
        <w:t xml:space="preserve">submitted affidavits from </w:t>
      </w:r>
      <w:r w:rsidR="007A6D84">
        <w:t>ethicists to support their legal positions.</w:t>
      </w:r>
      <w:r w:rsidR="007A6D84">
        <w:rPr>
          <w:rStyle w:val="FootnoteReference"/>
        </w:rPr>
        <w:footnoteReference w:id="18"/>
      </w:r>
      <w:r w:rsidR="007A6D84">
        <w:t xml:space="preserve">  The Applicants submitted an affidavit from Professor Arthur Schafer who </w:t>
      </w:r>
      <w:r w:rsidR="009207C0">
        <w:t>affirms his opinion that the “manner of the cancellation” of the basic income pilot “violated the Tri-Council Policy Statement</w:t>
      </w:r>
      <w:r w:rsidR="00036928">
        <w:t xml:space="preserve"> </w:t>
      </w:r>
      <w:r w:rsidR="009207C0">
        <w:t>insofar as the cancellation was not transparent,”</w:t>
      </w:r>
      <w:r w:rsidR="00036928">
        <w:rPr>
          <w:rStyle w:val="FootnoteReference"/>
        </w:rPr>
        <w:footnoteReference w:id="19"/>
      </w:r>
      <w:r w:rsidR="00036928">
        <w:t xml:space="preserve"> </w:t>
      </w:r>
      <w:r w:rsidR="009207C0">
        <w:t xml:space="preserve">as the participants “were neither consulted about the abrupt termination of the research nor were they part of the decision-making process,” noting also that the information </w:t>
      </w:r>
      <w:r w:rsidR="00217E8B">
        <w:t xml:space="preserve">booklet describes the basic income pilot as “’a three-year project to study whether a basic income can better support vulnerable workers and give people the </w:t>
      </w:r>
      <w:r w:rsidR="00217E8B" w:rsidRPr="00217E8B">
        <w:rPr>
          <w:u w:val="single"/>
        </w:rPr>
        <w:t>security</w:t>
      </w:r>
      <w:r w:rsidR="00217E8B">
        <w:t xml:space="preserve"> and opportunity they need to achieve their potential.’”</w:t>
      </w:r>
      <w:r w:rsidR="009207C0">
        <w:t xml:space="preserve"> </w:t>
      </w:r>
      <w:r w:rsidR="00217E8B">
        <w:t xml:space="preserve">[emphasis in the Schafer affidavit]  </w:t>
      </w:r>
      <w:r w:rsidR="009207C0">
        <w:t xml:space="preserve">  </w:t>
      </w:r>
    </w:p>
    <w:p w14:paraId="6F0D3E34" w14:textId="656E81A0" w:rsidR="008E128C" w:rsidRDefault="008E128C" w:rsidP="00AF5059">
      <w:pPr>
        <w:spacing w:line="480" w:lineRule="auto"/>
      </w:pPr>
    </w:p>
    <w:p w14:paraId="365DFAD1" w14:textId="47C2A986" w:rsidR="004E1D06" w:rsidRDefault="00036928" w:rsidP="006B6F20">
      <w:pPr>
        <w:spacing w:line="480" w:lineRule="auto"/>
      </w:pPr>
      <w:r>
        <w:t>T</w:t>
      </w:r>
      <w:r w:rsidR="00910548">
        <w:t>he Respondent provincial government submitted two expert affidavits from ethicist</w:t>
      </w:r>
      <w:r>
        <w:t>s</w:t>
      </w:r>
      <w:r w:rsidR="00910548">
        <w:t xml:space="preserve"> who</w:t>
      </w:r>
      <w:r>
        <w:t>se opinions stand in stark contrast to those of Professor Schafer</w:t>
      </w:r>
      <w:r w:rsidR="009938BD">
        <w:t xml:space="preserve">.  Professor Eike-Henner W. Kluge </w:t>
      </w:r>
      <w:r w:rsidR="00B70F3B">
        <w:t>opines that participants had no claim to be consulted on the termination of the basic income pilot since that termination “lies within the timeframe set out in the description of the project” and that any harms occasioned by the termination of the pilot</w:t>
      </w:r>
      <w:r w:rsidR="00D86107">
        <w:t xml:space="preserve"> therefore are “a result of the participants</w:t>
      </w:r>
      <w:r w:rsidR="00141232">
        <w:t xml:space="preserve"> </w:t>
      </w:r>
      <w:r w:rsidR="00D86107">
        <w:t>making life plans on the assumption that the project would run for up to three years.”</w:t>
      </w:r>
      <w:r w:rsidR="00D86107">
        <w:rPr>
          <w:rStyle w:val="FootnoteReference"/>
        </w:rPr>
        <w:footnoteReference w:id="20"/>
      </w:r>
      <w:r w:rsidR="00D86107">
        <w:t xml:space="preserve">  </w:t>
      </w:r>
      <w:r w:rsidR="007F3A78">
        <w:t xml:space="preserve">In </w:t>
      </w:r>
      <w:r w:rsidR="0086683F">
        <w:t xml:space="preserve">a </w:t>
      </w:r>
      <w:r w:rsidR="007F3A78">
        <w:t>relatively lengthy affidavit, Professor Heather A. Sampson opines</w:t>
      </w:r>
      <w:r w:rsidR="0086683F">
        <w:t xml:space="preserve">, </w:t>
      </w:r>
      <w:r w:rsidR="0086683F" w:rsidRPr="0086683F">
        <w:rPr>
          <w:i/>
          <w:iCs/>
        </w:rPr>
        <w:t>inter alia</w:t>
      </w:r>
      <w:r w:rsidR="0086683F">
        <w:t>,</w:t>
      </w:r>
      <w:r w:rsidR="007F3A78">
        <w:t xml:space="preserve"> that </w:t>
      </w:r>
      <w:r w:rsidR="00D13E5A">
        <w:t xml:space="preserve">the communication of the basic income pilot termination was “public, direct and supportive” and that “neither the intervention arm nor the control arm experienced research ethics based harms caused </w:t>
      </w:r>
      <w:r w:rsidR="00D13E5A">
        <w:lastRenderedPageBreak/>
        <w:t>by stopping this study before three years.”</w:t>
      </w:r>
      <w:r w:rsidR="00D13E5A">
        <w:rPr>
          <w:rStyle w:val="FootnoteReference"/>
        </w:rPr>
        <w:footnoteReference w:id="21"/>
      </w:r>
      <w:r w:rsidR="00D13E5A">
        <w:t xml:space="preserve">  </w:t>
      </w:r>
      <w:r w:rsidR="00B70F3B">
        <w:t xml:space="preserve">Both opinions seem to </w:t>
      </w:r>
      <w:r w:rsidR="00D13E5A">
        <w:t xml:space="preserve">largely </w:t>
      </w:r>
      <w:r w:rsidR="00B70F3B">
        <w:t xml:space="preserve">turn on </w:t>
      </w:r>
      <w:r w:rsidR="00F12BA3">
        <w:t>reasoning</w:t>
      </w:r>
      <w:r w:rsidR="00B70F3B">
        <w:t xml:space="preserve"> by the expert affiants that the provincial government had clearly communicated to participants that their participation in the basic income pilot was to be “up to 3 years” and thus the pilot was not actually terminated prematurely </w:t>
      </w:r>
      <w:r w:rsidR="00F12BA3">
        <w:t>from the perspective of the participants</w:t>
      </w:r>
      <w:r w:rsidR="00B70F3B">
        <w:t>.</w:t>
      </w:r>
      <w:r w:rsidR="00D13E5A">
        <w:rPr>
          <w:rStyle w:val="FootnoteReference"/>
        </w:rPr>
        <w:footnoteReference w:id="22"/>
      </w:r>
      <w:r w:rsidR="00DB1CFC">
        <w:t xml:space="preserve"> </w:t>
      </w:r>
    </w:p>
    <w:p w14:paraId="1BE8486F" w14:textId="37D45602" w:rsidR="004E1D06" w:rsidRDefault="004E1D06" w:rsidP="006B6F20">
      <w:pPr>
        <w:spacing w:line="480" w:lineRule="auto"/>
      </w:pPr>
    </w:p>
    <w:p w14:paraId="22EBA112" w14:textId="64CCE08F" w:rsidR="00FF4EFF" w:rsidRDefault="00FF4EFF" w:rsidP="00FF4EFF">
      <w:pPr>
        <w:spacing w:line="480" w:lineRule="auto"/>
      </w:pPr>
      <w:r>
        <w:t xml:space="preserve">Much of Professor Sampson’s opinion regarding whether any harm flowed from the cancellation is based on her opinion that the basic income pilot must have met the requirements of </w:t>
      </w:r>
      <w:r w:rsidR="00FF7801">
        <w:t>‘</w:t>
      </w:r>
      <w:r>
        <w:t>clinical equipoise</w:t>
      </w:r>
      <w:r w:rsidR="00FF7801">
        <w:t>’</w:t>
      </w:r>
      <w:r>
        <w:t xml:space="preserve"> as a precondition for ethical approval,</w:t>
      </w:r>
      <w:r w:rsidRPr="008C65FA">
        <w:rPr>
          <w:rStyle w:val="FootnoteReference"/>
        </w:rPr>
        <w:t xml:space="preserve"> </w:t>
      </w:r>
      <w:r>
        <w:rPr>
          <w:rStyle w:val="FootnoteReference"/>
        </w:rPr>
        <w:footnoteReference w:id="23"/>
      </w:r>
      <w:r>
        <w:t xml:space="preserve"> noting it is a requirement of the TCPS2 (2014),</w:t>
      </w:r>
      <w:r>
        <w:rPr>
          <w:rStyle w:val="FootnoteReference"/>
        </w:rPr>
        <w:footnoteReference w:id="24"/>
      </w:r>
      <w:r>
        <w:t xml:space="preserve"> and that it provides “a link between the duty of care of a clinician with the need to do research to ensure that the therapies or interventions offered are demonstrably safe and effective.”</w:t>
      </w:r>
      <w:r>
        <w:rPr>
          <w:rStyle w:val="FootnoteReference"/>
        </w:rPr>
        <w:footnoteReference w:id="25"/>
      </w:r>
      <w:r>
        <w:t xml:space="preserve">  She thus affirms her opinion that, because “[c]linical equipoise was demonstrated in the Pilot study design”, therefore the termination of the study “would not harm the experimental/interventional arm more or less than the control arm.”</w:t>
      </w:r>
      <w:r>
        <w:rPr>
          <w:rStyle w:val="FootnoteReference"/>
        </w:rPr>
        <w:footnoteReference w:id="26"/>
      </w:r>
      <w:r>
        <w:t xml:space="preserve"> </w:t>
      </w:r>
    </w:p>
    <w:p w14:paraId="67F4519B" w14:textId="77777777" w:rsidR="00FF4EFF" w:rsidRDefault="00FF4EFF" w:rsidP="006B6F20">
      <w:pPr>
        <w:spacing w:line="480" w:lineRule="auto"/>
      </w:pPr>
    </w:p>
    <w:p w14:paraId="36091901" w14:textId="2B200D20" w:rsidR="00DB1CFC" w:rsidRDefault="00802E2A" w:rsidP="006B6F20">
      <w:pPr>
        <w:spacing w:line="480" w:lineRule="auto"/>
      </w:pPr>
      <w:r>
        <w:lastRenderedPageBreak/>
        <w:t xml:space="preserve">Professor Kluge  indicates that the basic income pilot was meant to </w:t>
      </w:r>
      <w:r w:rsidR="000C1A9E">
        <w:t>determine  whether the basic income “can better support vulnerable workers and give people the security and opportunity they need to achieve their potential” and also whether it can be “a simpler and more effective was to provide income security…”.</w:t>
      </w:r>
      <w:r w:rsidR="000C1A9E">
        <w:rPr>
          <w:rStyle w:val="FootnoteReference"/>
        </w:rPr>
        <w:footnoteReference w:id="27"/>
      </w:r>
      <w:r w:rsidR="000C1A9E">
        <w:t xml:space="preserve">   </w:t>
      </w:r>
      <w:r w:rsidR="002014D8">
        <w:t xml:space="preserve">Interestingly, </w:t>
      </w:r>
      <w:r w:rsidR="000C1A9E">
        <w:t xml:space="preserve">Professor Sampson </w:t>
      </w:r>
      <w:r w:rsidR="002014D8">
        <w:t xml:space="preserve">instead </w:t>
      </w:r>
      <w:r w:rsidR="000C1A9E">
        <w:t>identifies the “protocol research question”</w:t>
      </w:r>
      <w:r w:rsidR="0086683F">
        <w:t xml:space="preserve"> as follows</w:t>
      </w:r>
      <w:r w:rsidR="000C1A9E">
        <w:t>:</w:t>
      </w:r>
    </w:p>
    <w:p w14:paraId="67C8C33D" w14:textId="7810EF6F" w:rsidR="0086683F" w:rsidRDefault="000C1A9E" w:rsidP="00FF4EFF">
      <w:pPr>
        <w:spacing w:line="480" w:lineRule="auto"/>
        <w:ind w:left="284" w:right="284"/>
      </w:pPr>
      <w:r>
        <w:t>Does providing a Basic Income improve mental health outcomes?  Does it also affect housing and food security, education, labour force participation and health care use.</w:t>
      </w:r>
      <w:r>
        <w:rPr>
          <w:rStyle w:val="FootnoteReference"/>
        </w:rPr>
        <w:footnoteReference w:id="28"/>
      </w:r>
    </w:p>
    <w:p w14:paraId="6F7D9CE1" w14:textId="1BB41B79" w:rsidR="008C65FA" w:rsidRDefault="00DD6F59" w:rsidP="008C65FA">
      <w:pPr>
        <w:pStyle w:val="Heading1"/>
      </w:pPr>
      <w:bookmarkStart w:id="6" w:name="_Toc38389772"/>
      <w:r>
        <w:t>The Formalistic Claims-Based Approach</w:t>
      </w:r>
      <w:bookmarkEnd w:id="6"/>
    </w:p>
    <w:p w14:paraId="12F17FE7" w14:textId="658B8E99" w:rsidR="0024439B" w:rsidRDefault="00B31FCD" w:rsidP="00B31FCD">
      <w:pPr>
        <w:pStyle w:val="Heading2"/>
        <w:numPr>
          <w:ilvl w:val="0"/>
          <w:numId w:val="17"/>
        </w:numPr>
      </w:pPr>
      <w:bookmarkStart w:id="7" w:name="_Toc38389773"/>
      <w:r>
        <w:t>Claim</w:t>
      </w:r>
      <w:r w:rsidR="00DD6F59">
        <w:t>s</w:t>
      </w:r>
      <w:r>
        <w:t xml:space="preserve">, </w:t>
      </w:r>
      <w:r w:rsidR="00CB666E">
        <w:t>Duties and Ethical Bracketing</w:t>
      </w:r>
      <w:bookmarkEnd w:id="7"/>
    </w:p>
    <w:p w14:paraId="5ECA2ABB" w14:textId="2360CBF1" w:rsidR="0057011D" w:rsidRDefault="00B66B66" w:rsidP="006B6F20">
      <w:pPr>
        <w:spacing w:line="480" w:lineRule="auto"/>
      </w:pPr>
      <w:r>
        <w:t>The</w:t>
      </w:r>
      <w:r w:rsidR="00B31FCD">
        <w:t>re exists a</w:t>
      </w:r>
      <w:r>
        <w:t xml:space="preserve"> </w:t>
      </w:r>
      <w:r w:rsidR="004036CB">
        <w:t>tendency</w:t>
      </w:r>
      <w:r>
        <w:t xml:space="preserve"> in research ethics to set aside larger ethical questions</w:t>
      </w:r>
      <w:r w:rsidR="00B31FCD">
        <w:t xml:space="preserve">, </w:t>
      </w:r>
      <w:r w:rsidR="005C616B">
        <w:t xml:space="preserve">a tendency </w:t>
      </w:r>
      <w:r w:rsidR="00B31FCD">
        <w:t xml:space="preserve">which </w:t>
      </w:r>
      <w:r>
        <w:t xml:space="preserve">is </w:t>
      </w:r>
      <w:r w:rsidR="00FF4EFF">
        <w:t>exemplified</w:t>
      </w:r>
      <w:r>
        <w:t xml:space="preserve"> by Samia Hurst in</w:t>
      </w:r>
      <w:r w:rsidR="005C616B">
        <w:t xml:space="preserve"> </w:t>
      </w:r>
      <w:r w:rsidR="00FF7801">
        <w:t>an</w:t>
      </w:r>
      <w:r>
        <w:t xml:space="preserve"> influential </w:t>
      </w:r>
      <w:r w:rsidR="00B31FCD">
        <w:t xml:space="preserve">paper in which she defines </w:t>
      </w:r>
      <w:r>
        <w:t xml:space="preserve">“vulnerability” as </w:t>
      </w:r>
      <w:r w:rsidR="004036CB">
        <w:t xml:space="preserve">“an identifiably increased likelihood of incurring </w:t>
      </w:r>
      <w:r w:rsidR="004036CB" w:rsidRPr="0057011D">
        <w:rPr>
          <w:u w:val="single"/>
        </w:rPr>
        <w:t>additional or greater</w:t>
      </w:r>
      <w:r w:rsidR="004036CB">
        <w:t xml:space="preserve"> wrong</w:t>
      </w:r>
      <w:r w:rsidR="00BF531B">
        <w:t>,</w:t>
      </w:r>
      <w:r w:rsidR="004036CB">
        <w:t>”</w:t>
      </w:r>
      <w:r w:rsidR="0057011D">
        <w:t xml:space="preserve"> [emphasis added]</w:t>
      </w:r>
      <w:r w:rsidR="004036CB">
        <w:rPr>
          <w:rStyle w:val="FootnoteReference"/>
        </w:rPr>
        <w:footnoteReference w:id="29"/>
      </w:r>
      <w:r w:rsidR="008E7459">
        <w:t xml:space="preserve">  </w:t>
      </w:r>
      <w:r w:rsidR="00B31FCD">
        <w:t>and where</w:t>
      </w:r>
      <w:r w:rsidR="009F6A9B">
        <w:t xml:space="preserve"> she further clarifies the practical scope of research ethics by</w:t>
      </w:r>
      <w:r w:rsidR="0071567C">
        <w:t xml:space="preserve"> </w:t>
      </w:r>
      <w:r w:rsidR="009D0A2E">
        <w:t>adding</w:t>
      </w:r>
      <w:r w:rsidR="00AE0632">
        <w:t>, somewhat tautologically,</w:t>
      </w:r>
      <w:r w:rsidR="009D0A2E">
        <w:t xml:space="preserve"> </w:t>
      </w:r>
      <w:r w:rsidR="00AE0632">
        <w:t>that participants only have a claim to special protection against those having “a share in the duty to avoid identifiable wrongs.”</w:t>
      </w:r>
      <w:r w:rsidR="00AE0632">
        <w:rPr>
          <w:rStyle w:val="FootnoteReference"/>
        </w:rPr>
        <w:footnoteReference w:id="30"/>
      </w:r>
      <w:r w:rsidR="00AE0632">
        <w:t xml:space="preserve"> </w:t>
      </w:r>
      <w:r w:rsidR="008E7459">
        <w:t xml:space="preserve"> </w:t>
      </w:r>
      <w:r w:rsidR="0057011D">
        <w:t xml:space="preserve">The limitation of the </w:t>
      </w:r>
      <w:r w:rsidR="002014D8">
        <w:t xml:space="preserve">conceptual </w:t>
      </w:r>
      <w:r w:rsidR="0057011D">
        <w:t xml:space="preserve">scope </w:t>
      </w:r>
      <w:r w:rsidR="00B31FCD">
        <w:t xml:space="preserve">of </w:t>
      </w:r>
      <w:r w:rsidR="002014D8">
        <w:t>‘vulnerability’ in</w:t>
      </w:r>
      <w:r w:rsidR="0057011D">
        <w:t xml:space="preserve"> research ethics to only those </w:t>
      </w:r>
      <w:r w:rsidR="00FF4EFF">
        <w:t xml:space="preserve">likely to experience </w:t>
      </w:r>
      <w:r w:rsidR="0057011D">
        <w:t xml:space="preserve">wrongs that are new or increased, coupled with a practical exercise of determining </w:t>
      </w:r>
      <w:r w:rsidR="00FF7801">
        <w:t>the research-related</w:t>
      </w:r>
      <w:r w:rsidR="0057011D">
        <w:t xml:space="preserve"> share in the duty to protect against those wrong</w:t>
      </w:r>
      <w:r w:rsidR="002014D8">
        <w:t xml:space="preserve">s, </w:t>
      </w:r>
      <w:r w:rsidR="00FF7801">
        <w:t>e</w:t>
      </w:r>
      <w:r w:rsidR="002014D8">
        <w:t xml:space="preserve">ffectively means that existing </w:t>
      </w:r>
      <w:r w:rsidR="00B31FCD">
        <w:t>wrongs</w:t>
      </w:r>
      <w:r w:rsidR="002014D8">
        <w:t xml:space="preserve"> will remain untouched unless an increase to th</w:t>
      </w:r>
      <w:r w:rsidR="00FF7801">
        <w:t xml:space="preserve">e total </w:t>
      </w:r>
      <w:r w:rsidR="00B31FCD">
        <w:t>wrongs</w:t>
      </w:r>
      <w:r w:rsidR="002014D8">
        <w:t xml:space="preserve"> can be specifically attributed to the research, and unless some duty can be shown to flow </w:t>
      </w:r>
      <w:r w:rsidR="001F6F32">
        <w:t xml:space="preserve">from </w:t>
      </w:r>
      <w:r w:rsidR="00B31FCD">
        <w:t>an</w:t>
      </w:r>
      <w:r w:rsidR="001F6F32">
        <w:t xml:space="preserve"> increased </w:t>
      </w:r>
      <w:r w:rsidR="00FF7801">
        <w:t xml:space="preserve">or additional </w:t>
      </w:r>
      <w:r w:rsidR="00B31FCD">
        <w:t>wrong</w:t>
      </w:r>
      <w:r w:rsidR="001F6F32">
        <w:t xml:space="preserve">.  </w:t>
      </w:r>
      <w:r w:rsidR="00CB31C2">
        <w:t>T</w:t>
      </w:r>
      <w:r w:rsidR="001F6F32">
        <w:t xml:space="preserve">here is considerable debate about whether and how duties </w:t>
      </w:r>
      <w:r w:rsidR="001F6F32">
        <w:lastRenderedPageBreak/>
        <w:t xml:space="preserve">to alleviate poverty can be </w:t>
      </w:r>
      <w:r w:rsidR="00510C63">
        <w:t xml:space="preserve">allocated and </w:t>
      </w:r>
      <w:r w:rsidR="001F6F32">
        <w:t>perfected</w:t>
      </w:r>
      <w:r w:rsidR="00510C63">
        <w:t>,</w:t>
      </w:r>
      <w:r w:rsidR="00510C63">
        <w:rPr>
          <w:rStyle w:val="FootnoteReference"/>
        </w:rPr>
        <w:footnoteReference w:id="31"/>
      </w:r>
      <w:r w:rsidR="00510C63">
        <w:t xml:space="preserve"> mean</w:t>
      </w:r>
      <w:r w:rsidR="00A26408">
        <w:t>ing</w:t>
      </w:r>
      <w:r w:rsidR="00510C63">
        <w:t xml:space="preserve"> that the duty to alleviate economic disadvantage will often </w:t>
      </w:r>
      <w:r w:rsidR="00615575">
        <w:t>arguably be interpreted</w:t>
      </w:r>
      <w:r w:rsidR="00510C63">
        <w:t xml:space="preserve"> as </w:t>
      </w:r>
      <w:r w:rsidR="00615575">
        <w:t xml:space="preserve">not </w:t>
      </w:r>
      <w:r w:rsidR="00510C63">
        <w:t>attributable to any specific actor, whether institutional or individual</w:t>
      </w:r>
      <w:r w:rsidR="00CB31C2">
        <w:t xml:space="preserve">. </w:t>
      </w:r>
      <w:r w:rsidR="005F417E" w:rsidRPr="00615575">
        <w:t>Hurst</w:t>
      </w:r>
      <w:r w:rsidR="005F417E">
        <w:t xml:space="preserve"> also </w:t>
      </w:r>
      <w:r w:rsidR="005F417E" w:rsidRPr="00615575">
        <w:t>notes that the issue of fault may affect the legitimacy of c</w:t>
      </w:r>
      <w:r w:rsidR="005F417E">
        <w:t>l</w:t>
      </w:r>
      <w:r w:rsidR="005F417E" w:rsidRPr="00615575">
        <w:t xml:space="preserve">aims to special protection </w:t>
      </w:r>
      <w:r w:rsidR="005F417E">
        <w:t>(as well as presumably claims for normal protection)</w:t>
      </w:r>
      <w:r w:rsidR="00FF7801">
        <w:t>.</w:t>
      </w:r>
      <w:r w:rsidR="005F417E">
        <w:rPr>
          <w:rStyle w:val="FootnoteReference"/>
        </w:rPr>
        <w:footnoteReference w:id="32"/>
      </w:r>
      <w:r w:rsidR="005F417E" w:rsidRPr="00615575">
        <w:t xml:space="preserve"> </w:t>
      </w:r>
      <w:r w:rsidR="00FF7801">
        <w:t>I</w:t>
      </w:r>
      <w:r w:rsidR="005F417E">
        <w:t>n practice w</w:t>
      </w:r>
      <w:r w:rsidR="00615575">
        <w:t>here there is an</w:t>
      </w:r>
      <w:r w:rsidR="00A26408">
        <w:t xml:space="preserve"> attributi</w:t>
      </w:r>
      <w:r w:rsidR="00615575">
        <w:t>on of</w:t>
      </w:r>
      <w:r w:rsidR="00A26408">
        <w:t xml:space="preserve"> fault to those who experience economic deprivation</w:t>
      </w:r>
      <w:r w:rsidR="00CB31C2">
        <w:t>, that deprivation</w:t>
      </w:r>
      <w:r w:rsidR="00A26408">
        <w:t xml:space="preserve"> </w:t>
      </w:r>
      <w:r w:rsidR="00510C63">
        <w:t>may not even be seen as unjust.</w:t>
      </w:r>
      <w:r w:rsidR="00025E0F">
        <w:rPr>
          <w:rStyle w:val="FootnoteReference"/>
        </w:rPr>
        <w:footnoteReference w:id="33"/>
      </w:r>
      <w:r w:rsidR="00510C63">
        <w:t xml:space="preserve">  One can see jus</w:t>
      </w:r>
      <w:r w:rsidR="006433D4">
        <w:t>t</w:t>
      </w:r>
      <w:r w:rsidR="00510C63">
        <w:t xml:space="preserve"> such a </w:t>
      </w:r>
      <w:r w:rsidR="006433D4">
        <w:t xml:space="preserve">phenomenon at play with regard to Professor Kluge’s argument that participants should have been aware that the basic income pilot itself might last less than 3 years, and thus any </w:t>
      </w:r>
      <w:r w:rsidR="004333D8">
        <w:t>harm</w:t>
      </w:r>
      <w:r w:rsidR="006433D4">
        <w:t xml:space="preserve"> that flows from their assumption of a 3 year study raises no relevant ethical issues for the cancellation of the basic income pilot</w:t>
      </w:r>
      <w:r w:rsidR="007E7F1E">
        <w:t>.</w:t>
      </w:r>
      <w:r w:rsidR="007E7F1E">
        <w:rPr>
          <w:rStyle w:val="FootnoteReference"/>
        </w:rPr>
        <w:footnoteReference w:id="34"/>
      </w:r>
      <w:r w:rsidR="006433D4">
        <w:t xml:space="preserve"> Putting aside the issues with regard to whether informed consent was ever obtained </w:t>
      </w:r>
      <w:r w:rsidR="004333D8">
        <w:t>on this point</w:t>
      </w:r>
      <w:r w:rsidR="006433D4">
        <w:t>,</w:t>
      </w:r>
      <w:r w:rsidR="00CC00DC">
        <w:rPr>
          <w:rStyle w:val="FootnoteReference"/>
        </w:rPr>
        <w:footnoteReference w:id="35"/>
      </w:r>
      <w:r w:rsidR="00CC00DC">
        <w:t xml:space="preserve"> Professor Kluge </w:t>
      </w:r>
      <w:r w:rsidR="00712051">
        <w:t xml:space="preserve">expressly </w:t>
      </w:r>
      <w:r w:rsidR="00CC00DC">
        <w:t xml:space="preserve">does not see any duty as being attributable to the provincial government as sponsors of the basic income pilot to address </w:t>
      </w:r>
      <w:r w:rsidR="00FC7BF5">
        <w:t xml:space="preserve">these harms, despite </w:t>
      </w:r>
      <w:r w:rsidR="004333D8">
        <w:t xml:space="preserve">it </w:t>
      </w:r>
      <w:r w:rsidR="00FC7BF5">
        <w:t xml:space="preserve">having been predictable </w:t>
      </w:r>
      <w:r w:rsidR="00FC7BF5" w:rsidRPr="00FC7BF5">
        <w:t xml:space="preserve">at the outset of the basic income pilot </w:t>
      </w:r>
      <w:r w:rsidR="00B974D1">
        <w:t>that participants might make financial commitments relating to their education and/or housing for example</w:t>
      </w:r>
      <w:r w:rsidR="007E7F1E">
        <w:t xml:space="preserve"> (</w:t>
      </w:r>
      <w:r w:rsidR="00B974D1">
        <w:t>whether or not those decisions were rational</w:t>
      </w:r>
      <w:r w:rsidR="007E7F1E">
        <w:t xml:space="preserve"> ones)</w:t>
      </w:r>
      <w:r w:rsidR="00712051">
        <w:t>, and despite the fact that the participants were acknowledged as being vulnerable.</w:t>
      </w:r>
    </w:p>
    <w:p w14:paraId="3C403987" w14:textId="0DBB8C3E" w:rsidR="00B31FCD" w:rsidRPr="005C616B" w:rsidRDefault="00B31FCD" w:rsidP="005C616B">
      <w:pPr>
        <w:pStyle w:val="Heading2"/>
      </w:pPr>
      <w:bookmarkStart w:id="8" w:name="_Toc38389774"/>
      <w:r w:rsidRPr="005C616B">
        <w:t>Clinical Equipoise and ‘Income as Treatment’</w:t>
      </w:r>
      <w:bookmarkEnd w:id="8"/>
    </w:p>
    <w:p w14:paraId="06EBB37B" w14:textId="4AB469F5" w:rsidR="00B31FCD" w:rsidRDefault="00B31FCD" w:rsidP="00B31FCD">
      <w:pPr>
        <w:spacing w:line="480" w:lineRule="auto"/>
      </w:pPr>
      <w:r>
        <w:t xml:space="preserve">Although much of the language employed </w:t>
      </w:r>
      <w:r w:rsidR="00712051">
        <w:t xml:space="preserve">in </w:t>
      </w:r>
      <w:r>
        <w:t xml:space="preserve">research ethics discourse is focused on clinical healthcare interventions which seemingly have little relation to basic income research, </w:t>
      </w:r>
      <w:r w:rsidR="00EC2AA4">
        <w:t xml:space="preserve">it is widely </w:t>
      </w:r>
      <w:r w:rsidR="00EC2AA4">
        <w:lastRenderedPageBreak/>
        <w:t>acknowledged that income and income inequality are significant determinants of health outcomes.</w:t>
      </w:r>
      <w:r w:rsidR="00EC2AA4">
        <w:rPr>
          <w:rStyle w:val="FootnoteReference"/>
        </w:rPr>
        <w:footnoteReference w:id="36"/>
      </w:r>
      <w:r w:rsidR="00EC2AA4">
        <w:t xml:space="preserve"> S</w:t>
      </w:r>
      <w:r>
        <w:t xml:space="preserve">ome physicians have </w:t>
      </w:r>
      <w:r w:rsidR="00FB4901">
        <w:t xml:space="preserve">also </w:t>
      </w:r>
      <w:r>
        <w:t>adopted a clinical approach that considers income and other social determinants of health.  One of these physicians, Dr. Gary Bloch, argues that “the evidence is irrefutable: poverty deserves to be treated like a disease.”</w:t>
      </w:r>
      <w:r>
        <w:rPr>
          <w:rStyle w:val="FootnoteReference"/>
        </w:rPr>
        <w:footnoteReference w:id="37"/>
      </w:r>
      <w:r>
        <w:t xml:space="preserve">   This position, if accepted, appears to refute the assumption of clinical equipoise in the basic income pilot, since it seems obvious that an increased income must improve health if poverty is the disease under treatment.  While there is debate regarding the various effects of a Basic Income</w:t>
      </w:r>
      <w:r>
        <w:rPr>
          <w:rStyle w:val="FootnoteReference"/>
        </w:rPr>
        <w:footnoteReference w:id="38"/>
      </w:r>
      <w:r>
        <w:t xml:space="preserve"> for low income individuals and families and the larger society, It should be noted that there is already some compelling evidence that a basic income is linked to improvements in health and other areas,</w:t>
      </w:r>
      <w:r>
        <w:rPr>
          <w:rStyle w:val="FootnoteReference"/>
        </w:rPr>
        <w:footnoteReference w:id="39"/>
      </w:r>
      <w:r>
        <w:t xml:space="preserve"> and also that the basic income pilot would have shown positive results in the relevant areas had it continued.</w:t>
      </w:r>
      <w:r>
        <w:rPr>
          <w:rStyle w:val="FootnoteReference"/>
        </w:rPr>
        <w:footnoteReference w:id="40"/>
      </w:r>
      <w:r>
        <w:t xml:space="preserve">   I suggest that the ethical arguments of Professor Sampson with regard to clinical equipoise being presupposed are </w:t>
      </w:r>
      <w:r w:rsidR="005C616B">
        <w:t>another example</w:t>
      </w:r>
      <w:r>
        <w:t xml:space="preserve"> of </w:t>
      </w:r>
      <w:r w:rsidR="005C616B">
        <w:t xml:space="preserve">an </w:t>
      </w:r>
      <w:r>
        <w:t xml:space="preserve">approach </w:t>
      </w:r>
      <w:r w:rsidR="005C616B">
        <w:t>to</w:t>
      </w:r>
      <w:r>
        <w:t xml:space="preserve"> research ethics where broader ethical questions are bracketed in favour of ethical matters clearly attributable to the research itself</w:t>
      </w:r>
      <w:r w:rsidR="005C616B">
        <w:t xml:space="preserve">, </w:t>
      </w:r>
      <w:r w:rsidR="00FB4901">
        <w:t>in this case</w:t>
      </w:r>
      <w:r w:rsidR="005C616B">
        <w:t xml:space="preserve"> due to a questionable and formalistic assumption </w:t>
      </w:r>
      <w:r w:rsidR="00FB4901">
        <w:t>regarding</w:t>
      </w:r>
      <w:r w:rsidR="005C616B">
        <w:t xml:space="preserve"> the research desig</w:t>
      </w:r>
      <w:r w:rsidR="00FF7801">
        <w:t>n.</w:t>
      </w:r>
    </w:p>
    <w:p w14:paraId="10FFA3E4" w14:textId="77777777" w:rsidR="005C616B" w:rsidRDefault="005C616B" w:rsidP="00B31FCD">
      <w:pPr>
        <w:spacing w:line="480" w:lineRule="auto"/>
      </w:pPr>
    </w:p>
    <w:p w14:paraId="3054B212" w14:textId="20AF47D0" w:rsidR="00B31FCD" w:rsidRDefault="005C616B" w:rsidP="006B6F20">
      <w:pPr>
        <w:spacing w:line="480" w:lineRule="auto"/>
      </w:pPr>
      <w:r>
        <w:t xml:space="preserve">The basic income pilot is remarkable as an example of vulnerability in that the treatment being evaluated is also the metric of the participants’ vulnerability.  This is not the same as a study on a particular medical treatment that treats a category of vulnerability, such as </w:t>
      </w:r>
      <w:r w:rsidR="00FB4901">
        <w:t>those who</w:t>
      </w:r>
      <w:r>
        <w:t xml:space="preserve"> </w:t>
      </w:r>
      <w:r w:rsidR="00FB4901">
        <w:t>are</w:t>
      </w:r>
      <w:r>
        <w:t xml:space="preserve"> pregnan</w:t>
      </w:r>
      <w:r w:rsidR="00FB4901">
        <w:t>t or suffer from an incurable disease</w:t>
      </w:r>
      <w:r>
        <w:t xml:space="preserve">, and where the treatment may alleviate the vulnerability or its symptoms.  In the case of the basic income pilot, the treatment is not only alleviating </w:t>
      </w:r>
      <w:r w:rsidR="009303A5">
        <w:t xml:space="preserve">a significant </w:t>
      </w:r>
      <w:r>
        <w:t>vulnerability,</w:t>
      </w:r>
      <w:r w:rsidR="009303A5">
        <w:rPr>
          <w:rStyle w:val="FootnoteReference"/>
        </w:rPr>
        <w:footnoteReference w:id="41"/>
      </w:r>
      <w:r>
        <w:t xml:space="preserve"> the treatment is literally the currency that is the metric of the vulnerability, while the effects being measured relate to the individual and societal symptoms of that vulnerability, such as </w:t>
      </w:r>
      <w:r w:rsidR="00FB4901">
        <w:t xml:space="preserve">aforementioned </w:t>
      </w:r>
      <w:r>
        <w:t xml:space="preserve">outcomes relating mental health, housing, education, health care use, and government </w:t>
      </w:r>
      <w:r w:rsidR="00FB4901">
        <w:t>efficiency</w:t>
      </w:r>
      <w:r>
        <w:t xml:space="preserve">.  </w:t>
      </w:r>
      <w:r w:rsidR="003F585A">
        <w:t>A</w:t>
      </w:r>
      <w:r>
        <w:t>nalogous example</w:t>
      </w:r>
      <w:r w:rsidR="003F585A">
        <w:t>s</w:t>
      </w:r>
      <w:r>
        <w:t xml:space="preserve"> might </w:t>
      </w:r>
      <w:r w:rsidR="003F585A">
        <w:t>include</w:t>
      </w:r>
      <w:r>
        <w:t xml:space="preserve"> a treatment for the vulnerability of being elderly by making the participants younger,</w:t>
      </w:r>
      <w:r w:rsidR="00FB4901">
        <w:t xml:space="preserve"> </w:t>
      </w:r>
      <w:r>
        <w:t xml:space="preserve">or </w:t>
      </w:r>
      <w:r w:rsidR="00512E46">
        <w:t>one treating</w:t>
      </w:r>
      <w:r>
        <w:t xml:space="preserve"> those who lack capacity to consent by adding capacity</w:t>
      </w:r>
      <w:r w:rsidR="003F585A">
        <w:t xml:space="preserve"> to them</w:t>
      </w:r>
      <w:r>
        <w:t xml:space="preserve"> like funds to a bank account.  </w:t>
      </w:r>
      <w:r w:rsidR="003F585A">
        <w:t xml:space="preserve">This point further elucidates the absurdity of the conclusion, based on the assumption of clinical equipoise, that the jury is still out on whether increased incomes will have positive effects on </w:t>
      </w:r>
      <w:r w:rsidR="00512E46">
        <w:t xml:space="preserve">measured outcomes such as </w:t>
      </w:r>
      <w:r w:rsidR="003F585A">
        <w:t xml:space="preserve">housing </w:t>
      </w:r>
      <w:r w:rsidR="00512E46">
        <w:t>insecurity</w:t>
      </w:r>
      <w:r w:rsidR="003F585A">
        <w:t xml:space="preserve">.    </w:t>
      </w:r>
      <w:r>
        <w:t xml:space="preserve"> </w:t>
      </w:r>
    </w:p>
    <w:p w14:paraId="16E831BA" w14:textId="6AA4B838" w:rsidR="00C338C4" w:rsidRDefault="007E7F1E" w:rsidP="007E7F1E">
      <w:pPr>
        <w:pStyle w:val="Heading1"/>
      </w:pPr>
      <w:bookmarkStart w:id="9" w:name="_Toc38389775"/>
      <w:r>
        <w:t>Layered Vulnerabilities in Basic Income Research</w:t>
      </w:r>
      <w:bookmarkEnd w:id="9"/>
    </w:p>
    <w:p w14:paraId="3C2E20CE" w14:textId="1F919843" w:rsidR="007E7F1E" w:rsidRPr="007E7F1E" w:rsidRDefault="007E7F1E" w:rsidP="007E7F1E">
      <w:pPr>
        <w:pStyle w:val="Heading2"/>
        <w:numPr>
          <w:ilvl w:val="0"/>
          <w:numId w:val="16"/>
        </w:numPr>
      </w:pPr>
      <w:bookmarkStart w:id="10" w:name="_Toc38389776"/>
      <w:r>
        <w:t>The Layered Approach to Vulnerability</w:t>
      </w:r>
      <w:bookmarkEnd w:id="10"/>
    </w:p>
    <w:p w14:paraId="53AD6DA7" w14:textId="58A31DC6" w:rsidR="0024439B" w:rsidRDefault="00ED7AFB" w:rsidP="006B6F20">
      <w:pPr>
        <w:spacing w:line="480" w:lineRule="auto"/>
      </w:pPr>
      <w:r>
        <w:t>The “economically disadvantaged” have historically been marked out as a vulnerable group that may require special protection,</w:t>
      </w:r>
      <w:r>
        <w:rPr>
          <w:rStyle w:val="FootnoteReference"/>
        </w:rPr>
        <w:footnoteReference w:id="42"/>
      </w:r>
      <w:r>
        <w:t xml:space="preserve">as well as other overlapping subgroups such as the “unemployed” </w:t>
      </w:r>
      <w:r>
        <w:lastRenderedPageBreak/>
        <w:t>or “impoverished”, “homeless persons”, and “people receiving welfare benefits or social assistance and other poor people”.</w:t>
      </w:r>
      <w:r>
        <w:rPr>
          <w:rStyle w:val="FootnoteReference"/>
        </w:rPr>
        <w:footnoteReference w:id="43"/>
      </w:r>
      <w:r>
        <w:t xml:space="preserve"> </w:t>
      </w:r>
      <w:r w:rsidR="0038527D">
        <w:t>As Florencia Luna notes, t</w:t>
      </w:r>
      <w:r w:rsidR="00C338C4">
        <w:t xml:space="preserve">he practice of </w:t>
      </w:r>
      <w:r w:rsidR="0057011D">
        <w:t>focus</w:t>
      </w:r>
      <w:r w:rsidR="00C338C4">
        <w:t>ing</w:t>
      </w:r>
      <w:r w:rsidR="0057011D">
        <w:t xml:space="preserve"> on the characteristic</w:t>
      </w:r>
      <w:r w:rsidR="00C338C4">
        <w:t>s</w:t>
      </w:r>
      <w:r w:rsidR="0057011D">
        <w:t xml:space="preserve"> of </w:t>
      </w:r>
      <w:r w:rsidR="00C338C4">
        <w:t>t</w:t>
      </w:r>
      <w:r w:rsidR="0057011D">
        <w:t>he participa</w:t>
      </w:r>
      <w:r w:rsidR="00C338C4">
        <w:t>n</w:t>
      </w:r>
      <w:r w:rsidR="0057011D">
        <w:t>ts has historically led to a “subpopulation approach” in research ethics</w:t>
      </w:r>
      <w:r w:rsidR="005E3954">
        <w:t xml:space="preserve">, </w:t>
      </w:r>
      <w:r>
        <w:t xml:space="preserve">an approach </w:t>
      </w:r>
      <w:r w:rsidR="005E3954">
        <w:t>which</w:t>
      </w:r>
      <w:r>
        <w:t xml:space="preserve"> she</w:t>
      </w:r>
      <w:r w:rsidR="005E3954">
        <w:t xml:space="preserve"> describe</w:t>
      </w:r>
      <w:r>
        <w:t>s</w:t>
      </w:r>
      <w:r w:rsidR="005E3954">
        <w:t xml:space="preserve"> by employing the </w:t>
      </w:r>
      <w:r w:rsidR="00512E46">
        <w:t>“</w:t>
      </w:r>
      <w:r w:rsidR="005E3954">
        <w:t>metaphor of labels</w:t>
      </w:r>
      <w:r w:rsidR="0057011D">
        <w:t>.</w:t>
      </w:r>
      <w:r w:rsidR="00512E46">
        <w:t>”</w:t>
      </w:r>
      <w:r w:rsidR="0038527D">
        <w:rPr>
          <w:rStyle w:val="FootnoteReference"/>
        </w:rPr>
        <w:footnoteReference w:id="44"/>
      </w:r>
      <w:r w:rsidR="0057011D">
        <w:t xml:space="preserve">   </w:t>
      </w:r>
      <w:r>
        <w:t>Luna sets out the</w:t>
      </w:r>
      <w:r w:rsidR="005E3954">
        <w:t xml:space="preserve"> </w:t>
      </w:r>
      <w:r w:rsidR="00512E46">
        <w:t xml:space="preserve">standard </w:t>
      </w:r>
      <w:r w:rsidR="005E3954">
        <w:t xml:space="preserve">criticisms of the subpopulation approach, </w:t>
      </w:r>
      <w:r>
        <w:t>ranging from</w:t>
      </w:r>
      <w:r w:rsidR="005E3954">
        <w:t xml:space="preserve"> the </w:t>
      </w:r>
      <w:r>
        <w:t>charge</w:t>
      </w:r>
      <w:r w:rsidR="005E3954">
        <w:t xml:space="preserve"> that such an approach results in overinclusive stereotyping and exclusion from research studies, </w:t>
      </w:r>
      <w:r>
        <w:t>to the eliminativist critique that the proliferation of vulnerable groups has caused the concept to become “too nebulous to be meaningful.”</w:t>
      </w:r>
      <w:r>
        <w:rPr>
          <w:rStyle w:val="FootnoteReference"/>
        </w:rPr>
        <w:footnoteReference w:id="45"/>
      </w:r>
      <w:r>
        <w:t xml:space="preserve"> </w:t>
      </w:r>
      <w:r w:rsidR="005E3954">
        <w:t>Luna argues for a</w:t>
      </w:r>
      <w:r w:rsidR="00624285">
        <w:t>n approach to vulnerability that instead employs the metaphor of layers, whereby layers of vulnerability are “multiple and different”, “and “may be removed layer by layer”.</w:t>
      </w:r>
      <w:r w:rsidR="00624285">
        <w:rPr>
          <w:rStyle w:val="FootnoteReference"/>
        </w:rPr>
        <w:footnoteReference w:id="46"/>
      </w:r>
      <w:r w:rsidR="005A373B">
        <w:t xml:space="preserve"> For Luna</w:t>
      </w:r>
      <w:r w:rsidR="007A6C70">
        <w:t>’s layered conception of vulnerability</w:t>
      </w:r>
      <w:r w:rsidR="005A373B">
        <w:t xml:space="preserve">, there </w:t>
      </w:r>
      <w:r w:rsidR="007A6C70">
        <w:t>are multiple factors or sources of vulnerability ranging from issues of capacity, to human rights, to social circumstances</w:t>
      </w:r>
      <w:r w:rsidR="00512E46">
        <w:t>.</w:t>
      </w:r>
      <w:r w:rsidR="007A6C70">
        <w:t xml:space="preserve"> </w:t>
      </w:r>
      <w:r w:rsidR="00512E46">
        <w:t xml:space="preserve">Further, </w:t>
      </w:r>
      <w:r w:rsidR="007A6C70">
        <w:t xml:space="preserve">the layers of vulnerability are “deeply related to the context” and so an individual may be vulnerable in certain contexts and not in others, thus their vulnerability “is not an essential property of the research subject or groups </w:t>
      </w:r>
      <w:r w:rsidR="007A6C70" w:rsidRPr="007A6C70">
        <w:rPr>
          <w:i/>
          <w:iCs/>
        </w:rPr>
        <w:t>per se</w:t>
      </w:r>
      <w:r w:rsidR="007A6C70">
        <w:t>.”</w:t>
      </w:r>
      <w:r w:rsidR="007A6C70">
        <w:rPr>
          <w:rStyle w:val="FootnoteReference"/>
        </w:rPr>
        <w:footnoteReference w:id="47"/>
      </w:r>
      <w:r w:rsidR="007A6C70">
        <w:t xml:space="preserve"> </w:t>
      </w:r>
      <w:r w:rsidR="005A373B">
        <w:t xml:space="preserve"> </w:t>
      </w:r>
      <w:r w:rsidR="00356C84">
        <w:t>As opposed to the standard approaches to vulnerability that seek to identify the necessary and sufficient conditions, Lun</w:t>
      </w:r>
      <w:r w:rsidR="00CF6D18">
        <w:t>a</w:t>
      </w:r>
      <w:r w:rsidR="00356C84">
        <w:t xml:space="preserve"> argues that “the concept should be understood dynamically and relationally.”</w:t>
      </w:r>
      <w:r w:rsidR="00356C84">
        <w:rPr>
          <w:rStyle w:val="FootnoteReference"/>
        </w:rPr>
        <w:footnoteReference w:id="48"/>
      </w:r>
      <w:r w:rsidR="00512E46">
        <w:t xml:space="preserve">  Luna</w:t>
      </w:r>
      <w:r w:rsidR="009C1A10">
        <w:t xml:space="preserve">’s layered conception of vulnerability also “challenges idealized views of the agent, human agency, and even justice that are so common in </w:t>
      </w:r>
      <w:r w:rsidR="009C1A10">
        <w:lastRenderedPageBreak/>
        <w:t>contemporary ethics”,</w:t>
      </w:r>
      <w:r w:rsidR="009C1A10">
        <w:rPr>
          <w:rStyle w:val="FootnoteReference"/>
        </w:rPr>
        <w:footnoteReference w:id="49"/>
      </w:r>
      <w:r w:rsidR="009C1A10">
        <w:t xml:space="preserve"> offering </w:t>
      </w:r>
      <w:r w:rsidR="00CF6D18">
        <w:t xml:space="preserve">instead the concept of </w:t>
      </w:r>
      <w:r w:rsidR="009C1A10">
        <w:t>a non-idealized, fallible and sometimes irrational agent, a point that is particularly apposite to this argument.</w:t>
      </w:r>
    </w:p>
    <w:p w14:paraId="64D1D56E" w14:textId="18798AB6" w:rsidR="00356C84" w:rsidRDefault="0070735B" w:rsidP="0070735B">
      <w:pPr>
        <w:pStyle w:val="Heading2"/>
      </w:pPr>
      <w:bookmarkStart w:id="11" w:name="_Toc38389777"/>
      <w:r>
        <w:t>Possible Interventions in the Basic Income Pilot</w:t>
      </w:r>
      <w:bookmarkEnd w:id="11"/>
    </w:p>
    <w:p w14:paraId="794086F9" w14:textId="5E7C8D6B" w:rsidR="00CB666E" w:rsidRDefault="00356C84" w:rsidP="006B6F20">
      <w:pPr>
        <w:spacing w:line="480" w:lineRule="auto"/>
      </w:pPr>
      <w:r>
        <w:t xml:space="preserve">We can begin to see how a layered approach to vulnerability highlights some of the ethically relevant issues missed </w:t>
      </w:r>
      <w:r w:rsidR="00E34C6E">
        <w:t>by a more formalistic approach</w:t>
      </w:r>
      <w:r>
        <w:t xml:space="preserve">.  For example, </w:t>
      </w:r>
      <w:r w:rsidR="00DD0CF1">
        <w:t xml:space="preserve">as opposed to an approach that focuses on whether participants should have understood that the basic income pilot might last less than three years, a layered approach might </w:t>
      </w:r>
      <w:r w:rsidR="009C1A10">
        <w:t xml:space="preserve">instead have </w:t>
      </w:r>
      <w:r w:rsidR="00DD0CF1">
        <w:t>ask</w:t>
      </w:r>
      <w:r w:rsidR="009C1A10">
        <w:t>ed</w:t>
      </w:r>
      <w:r w:rsidR="00DD0CF1">
        <w:t xml:space="preserve"> how </w:t>
      </w:r>
      <w:r w:rsidR="009C1A10">
        <w:t>one</w:t>
      </w:r>
      <w:r w:rsidR="00DD0CF1">
        <w:t xml:space="preserve"> might address the fact that the increase in income might cause participants</w:t>
      </w:r>
      <w:r w:rsidR="009C1A10">
        <w:t xml:space="preserve"> </w:t>
      </w:r>
      <w:r w:rsidR="00DD0CF1">
        <w:t>in the treatment group</w:t>
      </w:r>
      <w:r w:rsidR="009C1A10">
        <w:t xml:space="preserve">, many of whom will experience vulnerabilities due to housing insecurity and/or lack of education, </w:t>
      </w:r>
      <w:r w:rsidR="00DD0CF1">
        <w:t>to further their education or improve their housing (two outcomes actually being measured as part of the basic income pilot)</w:t>
      </w:r>
      <w:r w:rsidR="009C1A10">
        <w:t>,</w:t>
      </w:r>
      <w:r w:rsidR="00DD0CF1">
        <w:t xml:space="preserve"> but that they might not be able to pay for those expenses at the end of the basic income pilot.  A layered approach helps us to see that th</w:t>
      </w:r>
      <w:r w:rsidR="00E34C6E">
        <w:t xml:space="preserve">e resultant housing and educational insecurity are layers of vulnerability in and of themselves, and could be addressed through targeted interventions such a time-limited direct-payment bursaries and housing subsidies coupled with transitional housing assistance.  </w:t>
      </w:r>
    </w:p>
    <w:p w14:paraId="454BE67C" w14:textId="5ADFEDA4" w:rsidR="00CB666E" w:rsidRDefault="00B26C20" w:rsidP="00B26C20">
      <w:pPr>
        <w:pStyle w:val="Heading2"/>
      </w:pPr>
      <w:bookmarkStart w:id="12" w:name="_Toc38389778"/>
      <w:r>
        <w:t>Objections</w:t>
      </w:r>
      <w:bookmarkEnd w:id="12"/>
    </w:p>
    <w:p w14:paraId="1D7AFAC6" w14:textId="198A31D6" w:rsidR="001409D0" w:rsidRDefault="00F95E28" w:rsidP="006B6F20">
      <w:pPr>
        <w:spacing w:line="480" w:lineRule="auto"/>
      </w:pPr>
      <w:r>
        <w:t>As we have seen, t</w:t>
      </w:r>
      <w:r w:rsidR="00CB666E">
        <w:t xml:space="preserve">hose who ascribe to the Hurstian </w:t>
      </w:r>
      <w:r w:rsidR="009C1A10">
        <w:t xml:space="preserve">claims-based </w:t>
      </w:r>
      <w:r w:rsidR="00CB666E">
        <w:t xml:space="preserve">approach to vulnerability might object </w:t>
      </w:r>
      <w:r w:rsidR="007B0FD8">
        <w:t xml:space="preserve">to such interventions being required </w:t>
      </w:r>
      <w:r>
        <w:t xml:space="preserve">on the basis that the harms are not related to the research, or on the basis that even if there exist wrongs that are related to the research, then </w:t>
      </w:r>
      <w:r w:rsidR="00CB666E">
        <w:t xml:space="preserve">the sponsors have no share in a duty to address those </w:t>
      </w:r>
      <w:r w:rsidR="007B0FD8">
        <w:t>wrongs</w:t>
      </w:r>
      <w:r w:rsidR="00CB666E">
        <w:t xml:space="preserve"> since</w:t>
      </w:r>
      <w:r w:rsidR="007B0FD8">
        <w:t xml:space="preserve"> they arise out of the poor choices of the participants</w:t>
      </w:r>
      <w:r>
        <w:t>,</w:t>
      </w:r>
      <w:r w:rsidR="007B0FD8">
        <w:t xml:space="preserve"> and </w:t>
      </w:r>
      <w:r>
        <w:t xml:space="preserve">besides </w:t>
      </w:r>
      <w:r w:rsidR="007B0FD8">
        <w:t>their already-existing poverty</w:t>
      </w:r>
      <w:r w:rsidR="00C652E3">
        <w:t xml:space="preserve"> </w:t>
      </w:r>
      <w:r w:rsidR="007B0FD8">
        <w:t>is not caused in any way by the research</w:t>
      </w:r>
      <w:r>
        <w:t>.</w:t>
      </w:r>
      <w:r w:rsidR="009E1D61">
        <w:rPr>
          <w:rStyle w:val="FootnoteReference"/>
        </w:rPr>
        <w:footnoteReference w:id="50"/>
      </w:r>
      <w:r>
        <w:t xml:space="preserve">  Recall that t</w:t>
      </w:r>
      <w:r w:rsidR="00D611C0">
        <w:t xml:space="preserve">he Hurstian approach </w:t>
      </w:r>
      <w:r w:rsidR="00F64E0A">
        <w:t>requires</w:t>
      </w:r>
      <w:r w:rsidR="00D611C0">
        <w:t xml:space="preserve"> </w:t>
      </w:r>
      <w:r w:rsidR="001409D0">
        <w:t xml:space="preserve">that the person be under an “increased </w:t>
      </w:r>
      <w:r w:rsidR="001409D0">
        <w:lastRenderedPageBreak/>
        <w:t>likelihood of incurring additional or greater wrong”,</w:t>
      </w:r>
      <w:r w:rsidR="001409D0">
        <w:rPr>
          <w:rStyle w:val="FootnoteReference"/>
        </w:rPr>
        <w:footnoteReference w:id="51"/>
      </w:r>
      <w:r w:rsidR="001409D0">
        <w:t xml:space="preserve"> </w:t>
      </w:r>
      <w:r>
        <w:t>as well as</w:t>
      </w:r>
      <w:r w:rsidR="00F64E0A">
        <w:t xml:space="preserve"> </w:t>
      </w:r>
      <w:r w:rsidR="001409D0">
        <w:t>a valid claim for protection before there will arise any duty to protect even where vulnerability has not been established</w:t>
      </w:r>
      <w:r w:rsidR="00994A50">
        <w:t>, i.e. the approach is premised on valid claims</w:t>
      </w:r>
      <w:r w:rsidR="00CD27DE">
        <w:t>.</w:t>
      </w:r>
      <w:r w:rsidR="00CD27DE">
        <w:rPr>
          <w:rStyle w:val="FootnoteReference"/>
        </w:rPr>
        <w:footnoteReference w:id="52"/>
      </w:r>
      <w:r w:rsidR="001409D0">
        <w:t xml:space="preserve">  I would suggest that the former condition is untenable as leading to absurd consequence if one </w:t>
      </w:r>
      <w:r w:rsidR="00BC04D0">
        <w:t xml:space="preserve">consider particularly oppressive contexts; it could hardly be considered ethical for example to participate in </w:t>
      </w:r>
      <w:r w:rsidR="00645B1C">
        <w:t xml:space="preserve">collaborative </w:t>
      </w:r>
      <w:r w:rsidR="00BC04D0">
        <w:t xml:space="preserve">research on torture victims </w:t>
      </w:r>
      <w:r w:rsidR="009E1D61">
        <w:t xml:space="preserve">currently enduring torture </w:t>
      </w:r>
      <w:r w:rsidR="00BC04D0">
        <w:t xml:space="preserve">even if there was no danger that the research could in any way exacerbate the wrongs occasioned by that torture nor add to them.  Thus, an ethical conception of </w:t>
      </w:r>
      <w:r w:rsidR="00994A50">
        <w:t>“</w:t>
      </w:r>
      <w:r w:rsidR="00BC04D0">
        <w:t>vulnerability</w:t>
      </w:r>
      <w:r w:rsidR="00994A50">
        <w:t>”</w:t>
      </w:r>
      <w:r w:rsidR="00BC04D0">
        <w:t xml:space="preserve"> cannot</w:t>
      </w:r>
      <w:r w:rsidR="00994A50">
        <w:t xml:space="preserve"> simply take the research participant as we find them, without considering their context.  Rather, there will at least be some </w:t>
      </w:r>
      <w:r w:rsidR="006038C8">
        <w:t>examples</w:t>
      </w:r>
      <w:r w:rsidR="00994A50">
        <w:t xml:space="preserve"> where the ethics of the situation dictate that the context cannot be ignored, despite the research not posing an “increased likelihood of additional or greater wrong</w:t>
      </w:r>
      <w:r w:rsidR="006038C8">
        <w:t xml:space="preserve">.”  </w:t>
      </w:r>
      <w:r w:rsidR="009E1D61">
        <w:t>With regard to the valid-claim condition</w:t>
      </w:r>
      <w:r w:rsidR="006038C8">
        <w:t xml:space="preserve">, I would suggest that </w:t>
      </w:r>
      <w:r w:rsidR="00C14CBE">
        <w:t xml:space="preserve">Hurst’s </w:t>
      </w:r>
      <w:r w:rsidR="006038C8">
        <w:t xml:space="preserve">claims-based approach </w:t>
      </w:r>
      <w:r w:rsidR="00C14CBE">
        <w:t>at best obscures the distinction between</w:t>
      </w:r>
      <w:r w:rsidR="006038C8">
        <w:t xml:space="preserve"> </w:t>
      </w:r>
      <w:r w:rsidR="00B26C20">
        <w:t xml:space="preserve">ethical duties corresponding to the </w:t>
      </w:r>
      <w:r w:rsidR="006038C8">
        <w:t xml:space="preserve">individual claims </w:t>
      </w:r>
      <w:r w:rsidR="00B26C20">
        <w:t xml:space="preserve">of research participants </w:t>
      </w:r>
      <w:r w:rsidR="00645B1C">
        <w:t>and</w:t>
      </w:r>
      <w:r w:rsidR="00B26C20">
        <w:t xml:space="preserve"> </w:t>
      </w:r>
      <w:r w:rsidR="00C14CBE">
        <w:t xml:space="preserve">any </w:t>
      </w:r>
      <w:r w:rsidR="00B26C20">
        <w:t>broader ethical duties such as those owed to society</w:t>
      </w:r>
      <w:r w:rsidR="00C14CBE">
        <w:t xml:space="preserve">, and at worst commits a category error by conflating the two; it does this by noting that a share in the duty is required, while not specifying </w:t>
      </w:r>
      <w:r w:rsidR="006A3D7F">
        <w:t xml:space="preserve">whether that duty must be </w:t>
      </w:r>
      <w:r w:rsidR="00645B1C">
        <w:t xml:space="preserve">specifically </w:t>
      </w:r>
      <w:r w:rsidR="006A3D7F">
        <w:t>owed to participant</w:t>
      </w:r>
      <w:r w:rsidR="00B26C20">
        <w:t>.</w:t>
      </w:r>
      <w:r w:rsidR="00C14CBE">
        <w:rPr>
          <w:rStyle w:val="FootnoteReference"/>
        </w:rPr>
        <w:footnoteReference w:id="53"/>
      </w:r>
      <w:r w:rsidR="00B26C20">
        <w:t xml:space="preserve"> The predictable housing insecurity of former basic income pilot participants is illustrative of this point </w:t>
      </w:r>
      <w:r w:rsidR="00B26C20">
        <w:lastRenderedPageBreak/>
        <w:t xml:space="preserve">since there arguably exist broad ethical duties to address the phenomenon, even if </w:t>
      </w:r>
      <w:r w:rsidR="009E1D61">
        <w:t>valid participant claim</w:t>
      </w:r>
      <w:r w:rsidR="00645B1C">
        <w:t>s</w:t>
      </w:r>
      <w:r w:rsidR="009E1D61">
        <w:t xml:space="preserve"> cannot be established due to </w:t>
      </w:r>
      <w:r w:rsidR="00B26C20">
        <w:t>it aris</w:t>
      </w:r>
      <w:r w:rsidR="009E1D61">
        <w:t>ing</w:t>
      </w:r>
      <w:r w:rsidR="00B26C20">
        <w:t xml:space="preserve"> </w:t>
      </w:r>
      <w:r w:rsidR="00645B1C">
        <w:t>from</w:t>
      </w:r>
      <w:r w:rsidR="00B26C20">
        <w:t xml:space="preserve"> the</w:t>
      </w:r>
      <w:r w:rsidR="009E1D61">
        <w:t>ir</w:t>
      </w:r>
      <w:r w:rsidR="00B26C20">
        <w:t xml:space="preserve"> </w:t>
      </w:r>
      <w:r w:rsidR="009E1D61">
        <w:t xml:space="preserve">own </w:t>
      </w:r>
      <w:r w:rsidR="00B26C20">
        <w:t>poor choices</w:t>
      </w:r>
      <w:r w:rsidR="009E1D61">
        <w:t>.</w:t>
      </w:r>
      <w:r w:rsidR="00B26C20">
        <w:t xml:space="preserve">   </w:t>
      </w:r>
      <w:r w:rsidR="006038C8">
        <w:t xml:space="preserve"> </w:t>
      </w:r>
    </w:p>
    <w:p w14:paraId="2C6924ED" w14:textId="61157098" w:rsidR="00356C84" w:rsidRDefault="00DD0CF1" w:rsidP="00DD6F59">
      <w:pPr>
        <w:pStyle w:val="Heading1"/>
      </w:pPr>
      <w:r>
        <w:t xml:space="preserve"> </w:t>
      </w:r>
      <w:bookmarkStart w:id="13" w:name="_Toc38389779"/>
      <w:r w:rsidR="00B26C20">
        <w:t>Conclusion</w:t>
      </w:r>
      <w:bookmarkEnd w:id="13"/>
    </w:p>
    <w:p w14:paraId="072891B1" w14:textId="5776F262" w:rsidR="00BF531B" w:rsidRPr="00281C4B" w:rsidRDefault="00E633F4" w:rsidP="00997FB9">
      <w:pPr>
        <w:spacing w:line="480" w:lineRule="auto"/>
      </w:pPr>
      <w:r>
        <w:t xml:space="preserve">The tendency in research ethics to take a formalistic approach to the concept of vulnerability, and to the establishment of valid claims for protection, can lead to the bracketing of relevant ethical considerations.  </w:t>
      </w:r>
      <w:r w:rsidR="002207F9">
        <w:t xml:space="preserve">For vulnerable participants such as participants in the basic income pilot, it is particularly unfortunate that the formalistic application </w:t>
      </w:r>
      <w:r w:rsidR="00645B1C">
        <w:t xml:space="preserve">and </w:t>
      </w:r>
      <w:r w:rsidR="002207F9">
        <w:t xml:space="preserve">assumption of the concept of clinical equipoise can mean that an intervention being studied is seen as effect-neutral, despite considerable evidence to the contrary.  </w:t>
      </w:r>
      <w:r>
        <w:t xml:space="preserve">The </w:t>
      </w:r>
      <w:r w:rsidR="00645B1C">
        <w:t>requirement in the Hurstian claims-based approach</w:t>
      </w:r>
      <w:r>
        <w:t xml:space="preserve"> that the research lead to additional or increased wrongs means that those suffering under already-existing wrongs will not be considered vulnerable and worthy of special protection absent some increase</w:t>
      </w:r>
      <w:r w:rsidR="00B9134D">
        <w:t xml:space="preserve"> in, or addition to,</w:t>
      </w:r>
      <w:r>
        <w:t xml:space="preserve"> those wrongs</w:t>
      </w:r>
      <w:r w:rsidR="00B9134D">
        <w:t>. Thus, those wrongs will be bracketed and will not be addressed by the researcher, even if they are particularly heinous and/or easily remedied. The precondition requiring some share in the duty to protect the participant similarly brackets ethical considerations where that duty is not clear, such as with regard to duties to alleviate economic disadvantage</w:t>
      </w:r>
      <w:r w:rsidR="006A3D7F">
        <w:t xml:space="preserve">, and may also do so if an ethical duty is owed but </w:t>
      </w:r>
      <w:r w:rsidR="00780413">
        <w:t xml:space="preserve">is </w:t>
      </w:r>
      <w:r w:rsidR="006A3D7F">
        <w:t xml:space="preserve">not </w:t>
      </w:r>
      <w:r w:rsidR="00780413">
        <w:t xml:space="preserve">owed </w:t>
      </w:r>
      <w:r w:rsidR="006A3D7F">
        <w:t>to the participants (such as a duty to Society for example)</w:t>
      </w:r>
      <w:r w:rsidR="00B9134D">
        <w:t xml:space="preserve">.  </w:t>
      </w:r>
      <w:r w:rsidR="002207F9">
        <w:t xml:space="preserve">Florencia Luna’s layered approach to the concept of vulnerability is better able to capture </w:t>
      </w:r>
      <w:r w:rsidR="00780413">
        <w:t xml:space="preserve">at least some of </w:t>
      </w:r>
      <w:r w:rsidR="002207F9">
        <w:t xml:space="preserve">the excluded ethical </w:t>
      </w:r>
      <w:r w:rsidR="00997FB9">
        <w:t xml:space="preserve">considerations given that it does not assume an idealized rational research participant, is dynamic and relational, and is focused on possible vulnerabilities rather than on a static stereotype of vulnerable participant groups.  Thus, I suggest that such an approach is less concerned with the fault of the participants for their own misfortune, or with the </w:t>
      </w:r>
      <w:r w:rsidR="00780413">
        <w:t xml:space="preserve">formal </w:t>
      </w:r>
      <w:r w:rsidR="00997FB9">
        <w:t xml:space="preserve">assumptions made about the </w:t>
      </w:r>
      <w:r w:rsidR="00780413">
        <w:t xml:space="preserve">area of </w:t>
      </w:r>
      <w:r w:rsidR="00997FB9">
        <w:t xml:space="preserve">research, but </w:t>
      </w:r>
      <w:r w:rsidR="00780413">
        <w:t xml:space="preserve">is </w:t>
      </w:r>
      <w:r w:rsidR="00997FB9">
        <w:t xml:space="preserve">rather </w:t>
      </w:r>
      <w:r w:rsidR="00780413">
        <w:t xml:space="preserve">concerned </w:t>
      </w:r>
      <w:r w:rsidR="00997FB9">
        <w:t xml:space="preserve">with </w:t>
      </w:r>
      <w:r w:rsidR="00780413">
        <w:t>actually identifiable</w:t>
      </w:r>
      <w:r w:rsidR="00997FB9">
        <w:t xml:space="preserve"> layers of vulnerability such as housing insecurity or lack of education.  </w:t>
      </w:r>
    </w:p>
    <w:sectPr w:rsidR="00BF531B" w:rsidRPr="00281C4B" w:rsidSect="00DB7B74">
      <w:footerReference w:type="even" r:id="rId8"/>
      <w:footerReference w:type="default" r:id="rId9"/>
      <w:pgSz w:w="12240" w:h="15840"/>
      <w:pgMar w:top="1440"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6E20" w14:textId="77777777" w:rsidR="000F05A9" w:rsidRDefault="000F05A9" w:rsidP="009B72EC">
      <w:r>
        <w:separator/>
      </w:r>
    </w:p>
  </w:endnote>
  <w:endnote w:type="continuationSeparator" w:id="0">
    <w:p w14:paraId="40C2E645" w14:textId="77777777" w:rsidR="000F05A9" w:rsidRDefault="000F05A9" w:rsidP="009B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6587" w14:textId="77777777" w:rsidR="00B9134D" w:rsidRDefault="00B9134D" w:rsidP="00584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0616AC" w14:textId="77777777" w:rsidR="00B9134D" w:rsidRDefault="00B9134D" w:rsidP="00584D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29D3" w14:textId="77777777" w:rsidR="00B9134D" w:rsidRDefault="00B9134D" w:rsidP="00584D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43B0EC" w14:textId="77777777" w:rsidR="00B9134D" w:rsidRDefault="00B9134D" w:rsidP="00584D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C764" w14:textId="77777777" w:rsidR="000F05A9" w:rsidRDefault="000F05A9" w:rsidP="009B72EC">
      <w:r>
        <w:separator/>
      </w:r>
    </w:p>
  </w:footnote>
  <w:footnote w:type="continuationSeparator" w:id="0">
    <w:p w14:paraId="0EDE731B" w14:textId="77777777" w:rsidR="000F05A9" w:rsidRDefault="000F05A9" w:rsidP="009B72EC">
      <w:r>
        <w:continuationSeparator/>
      </w:r>
    </w:p>
  </w:footnote>
  <w:footnote w:id="1">
    <w:p w14:paraId="758FB8CD" w14:textId="334B4C90" w:rsidR="006460BF" w:rsidRPr="006460BF" w:rsidRDefault="006460BF">
      <w:pPr>
        <w:pStyle w:val="FootnoteText"/>
        <w:rPr>
          <w:b/>
        </w:rPr>
      </w:pPr>
      <w:r>
        <w:rPr>
          <w:rStyle w:val="FootnoteReference"/>
        </w:rPr>
        <w:footnoteRef/>
      </w:r>
      <w:r>
        <w:t xml:space="preserve"> </w:t>
      </w:r>
      <w:r>
        <w:rPr>
          <w:lang w:val="en-US"/>
        </w:rPr>
        <w:t>This paper was originall</w:t>
      </w:r>
      <w:r w:rsidRPr="00D269DC">
        <w:rPr>
          <w:lang w:val="en-US"/>
        </w:rPr>
        <w:t xml:space="preserve">y written as a final term paper in </w:t>
      </w:r>
      <w:r w:rsidRPr="00D269DC">
        <w:t>PHILOSOPHY 759</w:t>
      </w:r>
      <w:r w:rsidR="000A72AE" w:rsidRPr="00D269DC">
        <w:t xml:space="preserve">, a graduate seminar in </w:t>
      </w:r>
      <w:r w:rsidRPr="00D269DC">
        <w:t xml:space="preserve"> “Applied Ethics”</w:t>
      </w:r>
      <w:r w:rsidR="000A72AE" w:rsidRPr="00D269DC">
        <w:t xml:space="preserve">, for Professor Ariella Binik, McMaster </w:t>
      </w:r>
      <w:r w:rsidR="00D269DC" w:rsidRPr="00D269DC">
        <w:t>University</w:t>
      </w:r>
      <w:r w:rsidR="000A72AE" w:rsidRPr="00D269DC">
        <w:t xml:space="preserve">, and submitted </w:t>
      </w:r>
      <w:r w:rsidRPr="00D269DC">
        <w:t>in April 2020</w:t>
      </w:r>
      <w:r w:rsidR="000A72AE" w:rsidRPr="00D269DC">
        <w:t>.</w:t>
      </w:r>
      <w:r w:rsidRPr="00D269DC">
        <w:t xml:space="preserve">  I apologize to the reader in advance that I have not </w:t>
      </w:r>
      <w:r w:rsidR="000A72AE" w:rsidRPr="00D269DC">
        <w:t xml:space="preserve">yet addressed Professor Binik’s helpful and insightful comments and suggestions (which I will do this summer as I work </w:t>
      </w:r>
      <w:r w:rsidR="00D269DC">
        <w:t>to incorporate some of these arguments in</w:t>
      </w:r>
      <w:r w:rsidR="000A72AE" w:rsidRPr="00D269DC">
        <w:t xml:space="preserve"> a related chapter in my M.A. thesis), and nor have I re-drafted the paper for the NABIG reader.  Thus, </w:t>
      </w:r>
      <w:r w:rsidR="00D269DC" w:rsidRPr="00D269DC">
        <w:t xml:space="preserve">the paper will read as overly formal and specialized to some readers, and I suspect most readers will note that </w:t>
      </w:r>
      <w:r w:rsidR="000A72AE" w:rsidRPr="00D269DC">
        <w:t>th</w:t>
      </w:r>
      <w:r w:rsidR="00D269DC" w:rsidRPr="00D269DC">
        <w:t>e paper can clearly be improved.  I thank you for reading and I welcome further comments.</w:t>
      </w:r>
      <w:r w:rsidRPr="00D269DC">
        <w:t xml:space="preserve">  </w:t>
      </w:r>
    </w:p>
  </w:footnote>
  <w:footnote w:id="2">
    <w:p w14:paraId="16E00EE6" w14:textId="3852BA45" w:rsidR="00B9134D" w:rsidRPr="000A34F7" w:rsidRDefault="00B9134D">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Paola Loriggio, “Ontario government defends move to axe basic income pilot,” </w:t>
      </w:r>
      <w:r w:rsidRPr="000A34F7">
        <w:rPr>
          <w:rFonts w:ascii="Times New Roman" w:hAnsi="Times New Roman"/>
          <w:i/>
        </w:rPr>
        <w:t>The Globe &amp; Mail</w:t>
      </w:r>
      <w:r w:rsidRPr="000A34F7">
        <w:rPr>
          <w:rFonts w:ascii="Times New Roman" w:hAnsi="Times New Roman"/>
        </w:rPr>
        <w:t xml:space="preserve">, August 1, 2018, </w:t>
      </w:r>
      <w:hyperlink r:id="rId1" w:history="1">
        <w:r w:rsidRPr="000A34F7">
          <w:rPr>
            <w:rStyle w:val="Hyperlink"/>
            <w:rFonts w:ascii="Times New Roman" w:hAnsi="Times New Roman"/>
          </w:rPr>
          <w:t>https://www.theglobeandmail.com/canada/article-ontario-government-defends-move-to-axe-basic-income-pilot-project-2/</w:t>
        </w:r>
      </w:hyperlink>
      <w:r w:rsidRPr="000A34F7">
        <w:rPr>
          <w:rFonts w:ascii="Times New Roman" w:hAnsi="Times New Roman"/>
        </w:rPr>
        <w:t>.</w:t>
      </w:r>
    </w:p>
  </w:footnote>
  <w:footnote w:id="3">
    <w:p w14:paraId="33A38CA7" w14:textId="258C03F7" w:rsidR="00B9134D" w:rsidRPr="00B50736" w:rsidRDefault="00B9134D">
      <w:pPr>
        <w:pStyle w:val="FootnoteText"/>
      </w:pPr>
      <w:r w:rsidRPr="000A34F7">
        <w:rPr>
          <w:rStyle w:val="FootnoteReference"/>
          <w:rFonts w:ascii="Times New Roman" w:hAnsi="Times New Roman"/>
        </w:rPr>
        <w:footnoteRef/>
      </w:r>
      <w:r w:rsidRPr="000A34F7">
        <w:rPr>
          <w:rFonts w:ascii="Times New Roman" w:hAnsi="Times New Roman"/>
        </w:rPr>
        <w:t xml:space="preserve"> Rob Ferguson, “Ontario minister admits she broke election promise when she axed basic income project,” </w:t>
      </w:r>
      <w:r w:rsidRPr="000A34F7">
        <w:rPr>
          <w:rFonts w:ascii="Times New Roman" w:hAnsi="Times New Roman"/>
          <w:i/>
        </w:rPr>
        <w:t>The Toronto Star</w:t>
      </w:r>
      <w:r w:rsidRPr="000A34F7">
        <w:rPr>
          <w:rFonts w:ascii="Times New Roman" w:hAnsi="Times New Roman"/>
        </w:rPr>
        <w:t xml:space="preserve">, August 1, 2018, </w:t>
      </w:r>
      <w:hyperlink r:id="rId2" w:history="1">
        <w:r w:rsidRPr="000A34F7">
          <w:rPr>
            <w:rStyle w:val="Hyperlink"/>
            <w:rFonts w:ascii="Times New Roman" w:hAnsi="Times New Roman"/>
          </w:rPr>
          <w:t>https://www.thestar.com/news/queenspark/2018/08/01/ontario-minister-admits-she-broke-election-promise-when-she-axed-basic-income-project.html</w:t>
        </w:r>
      </w:hyperlink>
      <w:r w:rsidRPr="000A34F7">
        <w:rPr>
          <w:rFonts w:ascii="Times New Roman" w:hAnsi="Times New Roman"/>
        </w:rPr>
        <w:t>.</w:t>
      </w:r>
    </w:p>
  </w:footnote>
  <w:footnote w:id="4">
    <w:p w14:paraId="0C29DE87" w14:textId="46A7764B" w:rsidR="00B9134D" w:rsidRPr="000A34F7" w:rsidRDefault="00B9134D" w:rsidP="004036CB">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See Florencia Luna, “Elucidating the Concept of Vulnerability: Layers not Labels,” </w:t>
      </w:r>
      <w:r w:rsidRPr="000A34F7">
        <w:rPr>
          <w:rFonts w:ascii="Times New Roman" w:hAnsi="Times New Roman"/>
          <w:i/>
        </w:rPr>
        <w:t>International Journal of Feminist Approaches to Bioethics</w:t>
      </w:r>
      <w:r w:rsidRPr="000A34F7">
        <w:rPr>
          <w:rFonts w:ascii="Times New Roman" w:hAnsi="Times New Roman"/>
        </w:rPr>
        <w:t xml:space="preserve">, 2, no. 1 (Spring 2009): 121-139., as well as Florencia Luna and Sheryl Vanderpoel, “Not the Usual Suspects: Addressing Layers of Vulnerability,” </w:t>
      </w:r>
      <w:r w:rsidRPr="000A34F7">
        <w:rPr>
          <w:rFonts w:ascii="Times New Roman" w:hAnsi="Times New Roman"/>
          <w:i/>
        </w:rPr>
        <w:t>Bioethics</w:t>
      </w:r>
      <w:r w:rsidRPr="000A34F7">
        <w:rPr>
          <w:rFonts w:ascii="Times New Roman" w:hAnsi="Times New Roman"/>
        </w:rPr>
        <w:t>, 27, no. 6 (2013): 325-332, and Florencia Luna, “Identifyig and Evaluating layers of Vulnerability</w:t>
      </w:r>
      <w:r w:rsidR="000A34F7">
        <w:rPr>
          <w:rFonts w:ascii="Times New Roman" w:hAnsi="Times New Roman"/>
        </w:rPr>
        <w:t>-</w:t>
      </w:r>
      <w:r w:rsidRPr="000A34F7">
        <w:rPr>
          <w:rFonts w:ascii="Times New Roman" w:hAnsi="Times New Roman"/>
        </w:rPr>
        <w:t xml:space="preserve">A Way Forward,” </w:t>
      </w:r>
      <w:r w:rsidRPr="000A34F7">
        <w:rPr>
          <w:rFonts w:ascii="Times New Roman" w:hAnsi="Times New Roman"/>
          <w:i/>
        </w:rPr>
        <w:t>Bioethics</w:t>
      </w:r>
      <w:r w:rsidRPr="000A34F7">
        <w:rPr>
          <w:rFonts w:ascii="Times New Roman" w:hAnsi="Times New Roman"/>
        </w:rPr>
        <w:t>, 19 (2019):</w:t>
      </w:r>
      <w:r w:rsidR="000A34F7">
        <w:rPr>
          <w:rFonts w:ascii="Times New Roman" w:hAnsi="Times New Roman"/>
        </w:rPr>
        <w:t xml:space="preserve"> </w:t>
      </w:r>
      <w:r w:rsidRPr="000A34F7">
        <w:rPr>
          <w:rFonts w:ascii="Times New Roman" w:hAnsi="Times New Roman"/>
        </w:rPr>
        <w:t>86-95.</w:t>
      </w:r>
    </w:p>
  </w:footnote>
  <w:footnote w:id="5">
    <w:p w14:paraId="070B041B" w14:textId="77777777" w:rsidR="00B9134D" w:rsidRPr="000A34F7" w:rsidRDefault="00B9134D" w:rsidP="001E2B42">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In this paper I will use the term “bracket” to mean “to set aside as an object of inquiry and evaluation”, rather than for example the specific usage employed with regard to phenomenological bracketing by Edmund Husserl; see Edmund Husserl, </w:t>
      </w:r>
      <w:r w:rsidRPr="000A34F7">
        <w:rPr>
          <w:rFonts w:ascii="Times New Roman" w:hAnsi="Times New Roman"/>
          <w:i/>
          <w:iCs/>
        </w:rPr>
        <w:t>Cartesian Meditations: An Introduction to Phenomenology</w:t>
      </w:r>
      <w:r w:rsidRPr="000A34F7">
        <w:rPr>
          <w:rFonts w:ascii="Times New Roman" w:hAnsi="Times New Roman"/>
        </w:rPr>
        <w:t>. (Dordrecht: Springer Netherlands, 1977).</w:t>
      </w:r>
    </w:p>
  </w:footnote>
  <w:footnote w:id="6">
    <w:p w14:paraId="4062CF3B" w14:textId="77777777" w:rsidR="00B9134D" w:rsidRPr="00B50736" w:rsidRDefault="00B9134D" w:rsidP="001E2B42">
      <w:pPr>
        <w:pStyle w:val="FootnoteText"/>
      </w:pPr>
      <w:r w:rsidRPr="000A34F7">
        <w:rPr>
          <w:rStyle w:val="FootnoteReference"/>
          <w:rFonts w:ascii="Times New Roman" w:hAnsi="Times New Roman"/>
        </w:rPr>
        <w:footnoteRef/>
      </w:r>
      <w:r w:rsidRPr="000A34F7">
        <w:rPr>
          <w:rFonts w:ascii="Times New Roman" w:hAnsi="Times New Roman"/>
        </w:rPr>
        <w:t xml:space="preserve"> See Samia A. Hurst, “vulnerability in research and in health care: Describing the Elephant in the Room?” </w:t>
      </w:r>
      <w:r w:rsidRPr="000A34F7">
        <w:rPr>
          <w:rFonts w:ascii="Times New Roman" w:hAnsi="Times New Roman"/>
          <w:i/>
          <w:iCs/>
        </w:rPr>
        <w:t>Bioethics</w:t>
      </w:r>
      <w:r w:rsidRPr="000A34F7">
        <w:rPr>
          <w:rFonts w:ascii="Times New Roman" w:hAnsi="Times New Roman"/>
        </w:rPr>
        <w:t>, 22, no. 4 (2008): 191-202.</w:t>
      </w:r>
      <w:r w:rsidRPr="000A34F7">
        <w:rPr>
          <w:rFonts w:ascii="Times New Roman" w:hAnsi="Times New Roman"/>
        </w:rPr>
        <w:tab/>
      </w:r>
      <w:r>
        <w:tab/>
      </w:r>
    </w:p>
  </w:footnote>
  <w:footnote w:id="7">
    <w:p w14:paraId="42FBAA7E" w14:textId="7FADE80E" w:rsidR="00B9134D" w:rsidRPr="000A34F7" w:rsidRDefault="00B9134D">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See </w:t>
      </w:r>
      <w:r w:rsidRPr="000A34F7">
        <w:rPr>
          <w:rFonts w:ascii="Times New Roman" w:hAnsi="Times New Roman"/>
          <w:u w:val="single"/>
        </w:rPr>
        <w:t>Bowman et al. v. Her Majesty the Queen</w:t>
      </w:r>
      <w:r w:rsidRPr="000A34F7">
        <w:rPr>
          <w:rFonts w:ascii="Times New Roman" w:hAnsi="Times New Roman"/>
        </w:rPr>
        <w:t>, 2019 ONSC 1064 (CanLII), &lt;</w:t>
      </w:r>
      <w:hyperlink r:id="rId3" w:history="1">
        <w:r w:rsidRPr="000A34F7">
          <w:rPr>
            <w:rStyle w:val="Hyperlink"/>
            <w:rFonts w:ascii="Times New Roman" w:hAnsi="Times New Roman"/>
          </w:rPr>
          <w:t>http://canlii.ca/t/hxj31</w:t>
        </w:r>
      </w:hyperlink>
      <w:r w:rsidRPr="000A34F7">
        <w:rPr>
          <w:rFonts w:ascii="Times New Roman" w:hAnsi="Times New Roman"/>
        </w:rPr>
        <w:t>&gt;, retrieved on 2020-04-07</w:t>
      </w:r>
    </w:p>
  </w:footnote>
  <w:footnote w:id="8">
    <w:p w14:paraId="31AFFCB1" w14:textId="74C4AF3E" w:rsidR="00B9134D" w:rsidRPr="000A34F7" w:rsidRDefault="00B9134D">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w:t>
      </w:r>
      <w:r w:rsidRPr="000A34F7">
        <w:rPr>
          <w:rFonts w:ascii="Times New Roman" w:hAnsi="Times New Roman"/>
          <w:i/>
          <w:iCs/>
        </w:rPr>
        <w:t>Ibid.</w:t>
      </w:r>
      <w:r w:rsidRPr="000A34F7">
        <w:rPr>
          <w:rFonts w:ascii="Times New Roman" w:hAnsi="Times New Roman"/>
        </w:rPr>
        <w:t xml:space="preserve"> at para. 7-9.</w:t>
      </w:r>
    </w:p>
  </w:footnote>
  <w:footnote w:id="9">
    <w:p w14:paraId="13E0D352" w14:textId="58A9A864" w:rsidR="00B9134D" w:rsidRPr="000A34F7" w:rsidRDefault="00B9134D">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w:t>
      </w:r>
      <w:r w:rsidRPr="000A34F7">
        <w:rPr>
          <w:rFonts w:ascii="Times New Roman" w:hAnsi="Times New Roman"/>
          <w:i/>
          <w:iCs/>
        </w:rPr>
        <w:t>Ibid.</w:t>
      </w:r>
      <w:r w:rsidRPr="000A34F7">
        <w:rPr>
          <w:rFonts w:ascii="Times New Roman" w:hAnsi="Times New Roman"/>
        </w:rPr>
        <w:t xml:space="preserve"> at para. 10-14</w:t>
      </w:r>
    </w:p>
  </w:footnote>
  <w:footnote w:id="10">
    <w:p w14:paraId="2A8D1C8D" w14:textId="3A613695" w:rsidR="00B9134D" w:rsidRPr="000A34F7" w:rsidRDefault="00B9134D">
      <w:pPr>
        <w:pStyle w:val="FootnoteText"/>
        <w:rPr>
          <w:rFonts w:ascii="Times New Roman" w:hAnsi="Times New Roman"/>
        </w:rPr>
      </w:pPr>
      <w:r w:rsidRPr="000A34F7">
        <w:rPr>
          <w:rStyle w:val="FootnoteReference"/>
          <w:rFonts w:ascii="Times New Roman" w:hAnsi="Times New Roman"/>
        </w:rPr>
        <w:footnoteRef/>
      </w:r>
      <w:r w:rsidRPr="000A34F7">
        <w:rPr>
          <w:rFonts w:ascii="Times New Roman" w:hAnsi="Times New Roman"/>
        </w:rPr>
        <w:t xml:space="preserve"> </w:t>
      </w:r>
      <w:r w:rsidRPr="000A34F7">
        <w:rPr>
          <w:rFonts w:ascii="Times New Roman" w:hAnsi="Times New Roman"/>
          <w:i/>
          <w:iCs/>
        </w:rPr>
        <w:t>Ibid.</w:t>
      </w:r>
      <w:r w:rsidRPr="000A34F7">
        <w:rPr>
          <w:rFonts w:ascii="Times New Roman" w:hAnsi="Times New Roman"/>
        </w:rPr>
        <w:t xml:space="preserve"> at para. 41</w:t>
      </w:r>
    </w:p>
  </w:footnote>
  <w:footnote w:id="11">
    <w:p w14:paraId="33B9E95F" w14:textId="68E8B1C0" w:rsidR="00B9134D" w:rsidRPr="00B317D9" w:rsidRDefault="00B9134D">
      <w:pPr>
        <w:pStyle w:val="FootnoteText"/>
      </w:pPr>
      <w:r w:rsidRPr="000A34F7">
        <w:rPr>
          <w:rStyle w:val="FootnoteReference"/>
          <w:rFonts w:ascii="Times New Roman" w:hAnsi="Times New Roman"/>
        </w:rPr>
        <w:footnoteRef/>
      </w:r>
      <w:r w:rsidRPr="000A34F7">
        <w:rPr>
          <w:rFonts w:ascii="Times New Roman" w:hAnsi="Times New Roman"/>
        </w:rPr>
        <w:t xml:space="preserve"> </w:t>
      </w:r>
      <w:r w:rsidRPr="000A34F7">
        <w:rPr>
          <w:rFonts w:ascii="Times New Roman" w:hAnsi="Times New Roman"/>
          <w:i/>
          <w:iCs/>
        </w:rPr>
        <w:t>Ibid.</w:t>
      </w:r>
      <w:r w:rsidRPr="000A34F7">
        <w:rPr>
          <w:rFonts w:ascii="Times New Roman" w:hAnsi="Times New Roman"/>
        </w:rPr>
        <w:t xml:space="preserve"> at para. 42-49</w:t>
      </w:r>
    </w:p>
  </w:footnote>
  <w:footnote w:id="12">
    <w:p w14:paraId="46209408" w14:textId="5514B7B3"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w:t>
      </w:r>
      <w:r w:rsidRPr="00537664">
        <w:rPr>
          <w:rFonts w:ascii="Times New Roman" w:hAnsi="Times New Roman"/>
          <w:i/>
          <w:iCs/>
        </w:rPr>
        <w:t>Ibid.</w:t>
      </w:r>
      <w:r w:rsidRPr="00537664">
        <w:rPr>
          <w:rFonts w:ascii="Times New Roman" w:hAnsi="Times New Roman"/>
        </w:rPr>
        <w:t xml:space="preserve"> at para. 50-53</w:t>
      </w:r>
    </w:p>
  </w:footnote>
  <w:footnote w:id="13">
    <w:p w14:paraId="14B90293" w14:textId="3053B9DA"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w:t>
      </w:r>
      <w:r w:rsidRPr="00537664">
        <w:rPr>
          <w:rFonts w:ascii="Times New Roman" w:hAnsi="Times New Roman"/>
          <w:i/>
          <w:iCs/>
        </w:rPr>
        <w:t>Ibid.</w:t>
      </w:r>
      <w:r w:rsidRPr="00537664">
        <w:rPr>
          <w:rFonts w:ascii="Times New Roman" w:hAnsi="Times New Roman"/>
        </w:rPr>
        <w:t xml:space="preserve"> at para. 54-55.</w:t>
      </w:r>
    </w:p>
  </w:footnote>
  <w:footnote w:id="14">
    <w:p w14:paraId="42BF1DDE" w14:textId="3DDC4F3C" w:rsidR="00B9134D" w:rsidRPr="00537664" w:rsidRDefault="00B9134D" w:rsidP="00AF5059">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w:t>
      </w:r>
      <w:r w:rsidR="000A34F7" w:rsidRPr="00537664">
        <w:rPr>
          <w:rFonts w:ascii="Times New Roman" w:hAnsi="Times New Roman"/>
          <w:i/>
          <w:iCs/>
        </w:rPr>
        <w:t>Ibid</w:t>
      </w:r>
      <w:r w:rsidRPr="00537664">
        <w:rPr>
          <w:rFonts w:ascii="Times New Roman" w:hAnsi="Times New Roman"/>
          <w:i/>
          <w:iCs/>
        </w:rPr>
        <w:t xml:space="preserve"> </w:t>
      </w:r>
      <w:r w:rsidRPr="00537664">
        <w:rPr>
          <w:rFonts w:ascii="Times New Roman" w:hAnsi="Times New Roman"/>
        </w:rPr>
        <w:t>at para. 17.</w:t>
      </w:r>
    </w:p>
  </w:footnote>
  <w:footnote w:id="15">
    <w:p w14:paraId="266590F1" w14:textId="732CEA98"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These income security programs would commonly be understood as general welfare programs, with the former aimed at supporting those with disabilities. The basic income pilot in Ontario provided benefits set at 75% of the Low-Income Measure, which was a significant increase on the rates offered under these programs.  For example, the rate for a single person in the intervention group of the basic income pilot represented more than a 100% increase on the rate for a single person on Ontario Works benefits. See </w:t>
      </w:r>
      <w:hyperlink r:id="rId4" w:history="1">
        <w:r w:rsidRPr="00537664">
          <w:rPr>
            <w:rStyle w:val="Hyperlink"/>
            <w:rFonts w:ascii="Times New Roman" w:hAnsi="Times New Roman"/>
          </w:rPr>
          <w:t>http://incomesecurity.org/publications/basic_income/Basic-Income-pilot-What-will-it-mean-for-people-on-social-assistance-April-27-2017.docx</w:t>
        </w:r>
      </w:hyperlink>
      <w:r w:rsidRPr="00537664">
        <w:rPr>
          <w:rFonts w:ascii="Times New Roman" w:hAnsi="Times New Roman"/>
        </w:rPr>
        <w:t xml:space="preserve">    </w:t>
      </w:r>
    </w:p>
  </w:footnote>
  <w:footnote w:id="16">
    <w:p w14:paraId="38E9AD68" w14:textId="4C9C1D82" w:rsidR="00B9134D" w:rsidRPr="00AF5059" w:rsidRDefault="00B9134D" w:rsidP="00AF5059">
      <w:pPr>
        <w:pStyle w:val="FootnoteText"/>
      </w:pPr>
      <w:r w:rsidRPr="00537664">
        <w:rPr>
          <w:rStyle w:val="FootnoteReference"/>
          <w:rFonts w:ascii="Times New Roman" w:hAnsi="Times New Roman"/>
        </w:rPr>
        <w:footnoteRef/>
      </w:r>
      <w:r w:rsidRPr="00537664">
        <w:rPr>
          <w:rFonts w:ascii="Times New Roman" w:hAnsi="Times New Roman"/>
        </w:rPr>
        <w:t xml:space="preserve"> </w:t>
      </w:r>
      <w:r w:rsidR="00537664" w:rsidRPr="00537664">
        <w:rPr>
          <w:rFonts w:ascii="Times New Roman" w:hAnsi="Times New Roman"/>
          <w:i/>
          <w:iCs/>
        </w:rPr>
        <w:t>Bowman,</w:t>
      </w:r>
      <w:r w:rsidR="00537664" w:rsidRPr="00537664">
        <w:rPr>
          <w:rFonts w:ascii="Times New Roman" w:hAnsi="Times New Roman"/>
        </w:rPr>
        <w:t xml:space="preserve"> </w:t>
      </w:r>
      <w:r w:rsidR="00537664" w:rsidRPr="00537664">
        <w:rPr>
          <w:rFonts w:ascii="Times New Roman" w:hAnsi="Times New Roman"/>
          <w:i/>
          <w:iCs/>
        </w:rPr>
        <w:t>s</w:t>
      </w:r>
      <w:r w:rsidR="000A34F7" w:rsidRPr="00537664">
        <w:rPr>
          <w:rFonts w:ascii="Times New Roman" w:hAnsi="Times New Roman"/>
          <w:i/>
          <w:iCs/>
        </w:rPr>
        <w:t>upra</w:t>
      </w:r>
      <w:r w:rsidR="000A34F7" w:rsidRPr="00537664">
        <w:rPr>
          <w:rFonts w:ascii="Times New Roman" w:hAnsi="Times New Roman"/>
        </w:rPr>
        <w:t xml:space="preserve"> note 6</w:t>
      </w:r>
      <w:r w:rsidRPr="00537664">
        <w:rPr>
          <w:rFonts w:ascii="Times New Roman" w:hAnsi="Times New Roman"/>
        </w:rPr>
        <w:t xml:space="preserve"> at para. 18.</w:t>
      </w:r>
    </w:p>
  </w:footnote>
  <w:footnote w:id="17">
    <w:p w14:paraId="76FB1DAF" w14:textId="7589C0FC"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w:t>
      </w:r>
      <w:r w:rsidR="00537664" w:rsidRPr="00537664">
        <w:rPr>
          <w:rFonts w:ascii="Times New Roman" w:hAnsi="Times New Roman"/>
          <w:i/>
          <w:iCs/>
        </w:rPr>
        <w:t>Ibid.</w:t>
      </w:r>
      <w:r w:rsidRPr="00537664">
        <w:rPr>
          <w:rFonts w:ascii="Times New Roman" w:hAnsi="Times New Roman"/>
        </w:rPr>
        <w:t xml:space="preserve"> at para. 33-34</w:t>
      </w:r>
    </w:p>
  </w:footnote>
  <w:footnote w:id="18">
    <w:p w14:paraId="3DB74D44" w14:textId="79A55A13"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Thanks are owed to Mike Perry, Counsel for the Applicants, for providing copies of the affidavits along with the facta.  It should be noted that the affidavits </w:t>
      </w:r>
      <w:r w:rsidR="00537664" w:rsidRPr="00537664">
        <w:rPr>
          <w:rFonts w:ascii="Times New Roman" w:hAnsi="Times New Roman"/>
        </w:rPr>
        <w:t xml:space="preserve">of course </w:t>
      </w:r>
      <w:r w:rsidRPr="00537664">
        <w:rPr>
          <w:rFonts w:ascii="Times New Roman" w:hAnsi="Times New Roman"/>
        </w:rPr>
        <w:t xml:space="preserve">do not focus on elucidating the affiants particular conceptions of vulnerability, but rather on the question of whether the decision to cancel the basic income pilot was an ethical one in terms of applicable guidelines and policies.  </w:t>
      </w:r>
    </w:p>
  </w:footnote>
  <w:footnote w:id="19">
    <w:p w14:paraId="61CC00CA" w14:textId="5D8FA29F" w:rsidR="00B9134D" w:rsidRPr="009207C0" w:rsidRDefault="00B9134D" w:rsidP="00036928">
      <w:pPr>
        <w:pStyle w:val="FootnoteText"/>
      </w:pPr>
      <w:r w:rsidRPr="00537664">
        <w:rPr>
          <w:rStyle w:val="FootnoteReference"/>
          <w:rFonts w:ascii="Times New Roman" w:hAnsi="Times New Roman"/>
        </w:rPr>
        <w:footnoteRef/>
      </w:r>
      <w:r w:rsidRPr="00537664">
        <w:rPr>
          <w:rFonts w:ascii="Times New Roman" w:hAnsi="Times New Roman"/>
        </w:rPr>
        <w:t xml:space="preserve"> Social Sciences and Humanities Research Council, </w:t>
      </w:r>
      <w:r w:rsidRPr="00537664">
        <w:rPr>
          <w:rFonts w:ascii="Times New Roman" w:hAnsi="Times New Roman"/>
          <w:i/>
          <w:iCs/>
        </w:rPr>
        <w:t>Tri-Council Policy Statement: Ethical Conduct for Research Involving Humans</w:t>
      </w:r>
      <w:r w:rsidRPr="00537664">
        <w:rPr>
          <w:rFonts w:ascii="Times New Roman" w:hAnsi="Times New Roman"/>
        </w:rPr>
        <w:t xml:space="preserve">, 2014. </w:t>
      </w:r>
      <w:hyperlink r:id="rId5" w:history="1">
        <w:r w:rsidRPr="00537664">
          <w:rPr>
            <w:rStyle w:val="Hyperlink"/>
            <w:rFonts w:ascii="Times New Roman" w:hAnsi="Times New Roman"/>
          </w:rPr>
          <w:t>https://ethics.gc.ca/eng/policy-politique_tcps2-eptc2_initiatives.html</w:t>
        </w:r>
      </w:hyperlink>
      <w:r w:rsidRPr="00537664">
        <w:rPr>
          <w:rStyle w:val="Hyperlink"/>
          <w:rFonts w:ascii="Times New Roman" w:hAnsi="Times New Roman"/>
        </w:rPr>
        <w:t xml:space="preserve"> </w:t>
      </w:r>
      <w:r w:rsidRPr="00537664">
        <w:rPr>
          <w:rFonts w:ascii="Times New Roman" w:hAnsi="Times New Roman"/>
        </w:rPr>
        <w:t>[the policy statement has since been updated in December 2018]</w:t>
      </w:r>
    </w:p>
  </w:footnote>
  <w:footnote w:id="20">
    <w:p w14:paraId="2629ECF1" w14:textId="03C0E60D"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Eike-Henner W. Kluge, “Affidavit of Eike-Henner Kluge”, 28Nov2018, as submitted by the Respondents in </w:t>
      </w:r>
      <w:r w:rsidRPr="00537664">
        <w:rPr>
          <w:rFonts w:ascii="Times New Roman" w:hAnsi="Times New Roman"/>
          <w:u w:val="single"/>
        </w:rPr>
        <w:t>Bowman et al. v. Her Majesty the Queen</w:t>
      </w:r>
      <w:r w:rsidRPr="00537664">
        <w:rPr>
          <w:rFonts w:ascii="Times New Roman" w:hAnsi="Times New Roman"/>
        </w:rPr>
        <w:t>, 2019 ONSC 1064 (CanLII), Court File No. 102/18,(unpublished, provided to the author by Mike Perry, Counsel for the Applicants) at pp. 1-3</w:t>
      </w:r>
    </w:p>
  </w:footnote>
  <w:footnote w:id="21">
    <w:p w14:paraId="3EFC2DEB" w14:textId="22C2D66C"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Heather A. Sampson, “Affidavit of Heather A. Sampson”, 3Dec2018, as submitted by the Respondents in </w:t>
      </w:r>
      <w:r w:rsidRPr="00537664">
        <w:rPr>
          <w:rFonts w:ascii="Times New Roman" w:hAnsi="Times New Roman"/>
          <w:u w:val="single"/>
        </w:rPr>
        <w:t>Bowman et al. v. Her Majesty the Queen</w:t>
      </w:r>
      <w:r w:rsidRPr="00537664">
        <w:rPr>
          <w:rFonts w:ascii="Times New Roman" w:hAnsi="Times New Roman"/>
        </w:rPr>
        <w:t>, 2019 ONSC 1064 (CanLII), Court File No. 102/18,(unpublished, provided to the author by Mike Perry, Counsel for the Applicants) at p. 3</w:t>
      </w:r>
    </w:p>
  </w:footnote>
  <w:footnote w:id="22">
    <w:p w14:paraId="005B37B7" w14:textId="4E1E2EB6"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Professor Sampson does note however that the study was “defined publicly” as lasting three years, while participants were informed in the information booklet and the consent forms that the enrollment term was “up to 3 years”, which she attributes as being due to staggered enrolment.  Professor Sampson also notes that “[i] is unusual for a research sponsor to declare a definitive length of s study in the protocol or information and consent documents.”.  See Sampson</w:t>
      </w:r>
      <w:r w:rsidR="00537664" w:rsidRPr="00537664">
        <w:rPr>
          <w:rFonts w:ascii="Times New Roman" w:hAnsi="Times New Roman"/>
        </w:rPr>
        <w:t xml:space="preserve">, </w:t>
      </w:r>
      <w:r w:rsidR="00537664" w:rsidRPr="00537664">
        <w:rPr>
          <w:rFonts w:ascii="Times New Roman" w:hAnsi="Times New Roman"/>
          <w:i/>
          <w:iCs/>
        </w:rPr>
        <w:t>supra</w:t>
      </w:r>
      <w:r w:rsidR="00537664" w:rsidRPr="00537664">
        <w:rPr>
          <w:rFonts w:ascii="Times New Roman" w:hAnsi="Times New Roman"/>
        </w:rPr>
        <w:t xml:space="preserve"> note 20</w:t>
      </w:r>
      <w:r w:rsidRPr="00537664">
        <w:rPr>
          <w:rFonts w:ascii="Times New Roman" w:hAnsi="Times New Roman"/>
        </w:rPr>
        <w:t xml:space="preserve"> at p. 2.   </w:t>
      </w:r>
    </w:p>
  </w:footnote>
  <w:footnote w:id="23">
    <w:p w14:paraId="448EE962" w14:textId="5D82A56B" w:rsidR="00B9134D" w:rsidRPr="00537664" w:rsidRDefault="00B9134D" w:rsidP="00FF4EFF">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Professor Sampson quotes the definition of the “clinical equipoise” as a “Key Concept” in the TCPS2(2014), and also offers the definition of clinical equipoise as set out by Professor Benjamin Freeman (which prefigures the TCPS2 definition):</w:t>
      </w:r>
    </w:p>
    <w:p w14:paraId="399C3722" w14:textId="77777777" w:rsidR="00B9134D" w:rsidRPr="00537664" w:rsidRDefault="00B9134D" w:rsidP="00FF4EFF">
      <w:pPr>
        <w:pStyle w:val="FootnoteText"/>
        <w:ind w:left="284" w:right="284"/>
        <w:rPr>
          <w:rFonts w:ascii="Times New Roman" w:hAnsi="Times New Roman"/>
          <w:i/>
          <w:iCs/>
        </w:rPr>
      </w:pPr>
      <w:r w:rsidRPr="00537664">
        <w:rPr>
          <w:rFonts w:ascii="Times New Roman" w:hAnsi="Times New Roman"/>
          <w:i/>
          <w:iCs/>
        </w:rPr>
        <w:t>According to this concept of “clinical equipoise,” the requirement is satisfied if there is genuine uncertainty within the expert medical community – not necessarily on the part of the individual investigator – about the preferred treatment.</w:t>
      </w:r>
    </w:p>
    <w:p w14:paraId="38FBE7B9" w14:textId="77777777" w:rsidR="00B9134D" w:rsidRPr="00537664" w:rsidRDefault="00B9134D" w:rsidP="00FF4EFF">
      <w:pPr>
        <w:pStyle w:val="FootnoteText"/>
        <w:rPr>
          <w:rFonts w:ascii="Times New Roman" w:hAnsi="Times New Roman"/>
        </w:rPr>
      </w:pPr>
      <w:r w:rsidRPr="00537664">
        <w:rPr>
          <w:rFonts w:ascii="Times New Roman" w:hAnsi="Times New Roman"/>
        </w:rPr>
        <w:t xml:space="preserve">See Benjamin Freedman, “Equipoise and the Ethics of Clinical Research,” </w:t>
      </w:r>
      <w:r w:rsidRPr="00537664">
        <w:rPr>
          <w:rFonts w:ascii="Times New Roman" w:hAnsi="Times New Roman"/>
          <w:i/>
          <w:iCs/>
        </w:rPr>
        <w:t>New England Journal of Medicine</w:t>
      </w:r>
      <w:r w:rsidRPr="00537664">
        <w:rPr>
          <w:rFonts w:ascii="Times New Roman" w:hAnsi="Times New Roman"/>
        </w:rPr>
        <w:t xml:space="preserve"> 317 (1987): 141</w:t>
      </w:r>
    </w:p>
  </w:footnote>
  <w:footnote w:id="24">
    <w:p w14:paraId="32F56BEA" w14:textId="77777777" w:rsidR="00B9134D" w:rsidRPr="00AE6FD3" w:rsidRDefault="00B9134D" w:rsidP="00FF4EFF">
      <w:pPr>
        <w:pStyle w:val="FootnoteText"/>
      </w:pPr>
      <w:r w:rsidRPr="00537664">
        <w:rPr>
          <w:rStyle w:val="FootnoteReference"/>
          <w:rFonts w:ascii="Times New Roman" w:hAnsi="Times New Roman"/>
        </w:rPr>
        <w:footnoteRef/>
      </w:r>
      <w:r w:rsidRPr="00537664">
        <w:rPr>
          <w:rFonts w:ascii="Times New Roman" w:hAnsi="Times New Roman"/>
        </w:rPr>
        <w:t xml:space="preserve"> Social Sciences and Humanities Research Council, </w:t>
      </w:r>
      <w:r w:rsidRPr="00537664">
        <w:rPr>
          <w:rFonts w:ascii="Times New Roman" w:hAnsi="Times New Roman"/>
          <w:i/>
          <w:iCs/>
        </w:rPr>
        <w:t>Tri-Council Policy Statement: Ethical Conduct for Research Involving Humans</w:t>
      </w:r>
      <w:r w:rsidRPr="00537664">
        <w:rPr>
          <w:rFonts w:ascii="Times New Roman" w:hAnsi="Times New Roman"/>
        </w:rPr>
        <w:t xml:space="preserve">, 2014. </w:t>
      </w:r>
      <w:hyperlink r:id="rId6" w:history="1">
        <w:r w:rsidRPr="00537664">
          <w:rPr>
            <w:rStyle w:val="Hyperlink"/>
            <w:rFonts w:ascii="Times New Roman" w:hAnsi="Times New Roman"/>
          </w:rPr>
          <w:t>https://ethics.gc.ca/eng/policy-politique_tcps2-eptc2_initiatives.html</w:t>
        </w:r>
      </w:hyperlink>
      <w:r>
        <w:t xml:space="preserve"> </w:t>
      </w:r>
    </w:p>
  </w:footnote>
  <w:footnote w:id="25">
    <w:p w14:paraId="0C39C355" w14:textId="133397E1" w:rsidR="00B9134D" w:rsidRPr="00537664" w:rsidRDefault="00B9134D" w:rsidP="00FF4EFF">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Sampson</w:t>
      </w:r>
      <w:r w:rsidR="00537664" w:rsidRPr="00537664">
        <w:rPr>
          <w:rFonts w:ascii="Times New Roman" w:hAnsi="Times New Roman"/>
        </w:rPr>
        <w:t>,</w:t>
      </w:r>
      <w:r w:rsidR="00537664" w:rsidRPr="00537664">
        <w:rPr>
          <w:rFonts w:ascii="Times New Roman" w:hAnsi="Times New Roman"/>
          <w:i/>
          <w:iCs/>
        </w:rPr>
        <w:t xml:space="preserve"> supra</w:t>
      </w:r>
      <w:r w:rsidR="00537664" w:rsidRPr="00537664">
        <w:rPr>
          <w:rFonts w:ascii="Times New Roman" w:hAnsi="Times New Roman"/>
        </w:rPr>
        <w:t xml:space="preserve"> note 20</w:t>
      </w:r>
      <w:r w:rsidRPr="00537664">
        <w:rPr>
          <w:rFonts w:ascii="Times New Roman" w:hAnsi="Times New Roman"/>
        </w:rPr>
        <w:t xml:space="preserve"> at p. 15</w:t>
      </w:r>
    </w:p>
  </w:footnote>
  <w:footnote w:id="26">
    <w:p w14:paraId="1F0746C2" w14:textId="7C21AA65" w:rsidR="00B9134D" w:rsidRPr="00537664" w:rsidRDefault="00B9134D" w:rsidP="00FF4EFF">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w:t>
      </w:r>
      <w:r w:rsidR="00537664" w:rsidRPr="00537664">
        <w:rPr>
          <w:rFonts w:ascii="Times New Roman" w:hAnsi="Times New Roman"/>
          <w:i/>
          <w:iCs/>
        </w:rPr>
        <w:t>Ibid.</w:t>
      </w:r>
      <w:r w:rsidR="00537664" w:rsidRPr="00537664">
        <w:rPr>
          <w:rFonts w:ascii="Times New Roman" w:hAnsi="Times New Roman"/>
        </w:rPr>
        <w:t xml:space="preserve"> </w:t>
      </w:r>
      <w:r w:rsidRPr="00537664">
        <w:rPr>
          <w:rFonts w:ascii="Times New Roman" w:hAnsi="Times New Roman"/>
        </w:rPr>
        <w:t>at p. 18</w:t>
      </w:r>
    </w:p>
  </w:footnote>
  <w:footnote w:id="27">
    <w:p w14:paraId="089D8414" w14:textId="514EB655" w:rsidR="00B9134D" w:rsidRPr="00537664" w:rsidRDefault="00B9134D" w:rsidP="0031535B">
      <w:pPr>
        <w:pStyle w:val="FootnoteText"/>
        <w:contextualSpacing/>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Kluge</w:t>
      </w:r>
      <w:r w:rsidR="00537664" w:rsidRPr="00537664">
        <w:rPr>
          <w:rFonts w:ascii="Times New Roman" w:hAnsi="Times New Roman"/>
        </w:rPr>
        <w:t xml:space="preserve">, </w:t>
      </w:r>
      <w:r w:rsidR="00537664" w:rsidRPr="00537664">
        <w:rPr>
          <w:rFonts w:ascii="Times New Roman" w:hAnsi="Times New Roman"/>
          <w:i/>
          <w:iCs/>
        </w:rPr>
        <w:t xml:space="preserve">supra </w:t>
      </w:r>
      <w:r w:rsidR="00537664" w:rsidRPr="00537664">
        <w:rPr>
          <w:rFonts w:ascii="Times New Roman" w:hAnsi="Times New Roman"/>
        </w:rPr>
        <w:t>note 19</w:t>
      </w:r>
      <w:r w:rsidRPr="00537664">
        <w:rPr>
          <w:rFonts w:ascii="Times New Roman" w:hAnsi="Times New Roman"/>
        </w:rPr>
        <w:t xml:space="preserve"> at p. 1</w:t>
      </w:r>
    </w:p>
  </w:footnote>
  <w:footnote w:id="28">
    <w:p w14:paraId="35F3A509" w14:textId="610DDCD1" w:rsidR="00B9134D" w:rsidRPr="00537664" w:rsidRDefault="00B9134D" w:rsidP="0031535B">
      <w:pPr>
        <w:pStyle w:val="FootnoteText"/>
        <w:contextualSpacing/>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Sampson</w:t>
      </w:r>
      <w:r w:rsidR="00537664" w:rsidRPr="00537664">
        <w:rPr>
          <w:rFonts w:ascii="Times New Roman" w:hAnsi="Times New Roman"/>
        </w:rPr>
        <w:t xml:space="preserve">, </w:t>
      </w:r>
      <w:r w:rsidR="00537664" w:rsidRPr="00537664">
        <w:rPr>
          <w:rFonts w:ascii="Times New Roman" w:hAnsi="Times New Roman"/>
          <w:i/>
          <w:iCs/>
        </w:rPr>
        <w:t xml:space="preserve">supra </w:t>
      </w:r>
      <w:r w:rsidR="00537664" w:rsidRPr="00537664">
        <w:rPr>
          <w:rFonts w:ascii="Times New Roman" w:hAnsi="Times New Roman"/>
        </w:rPr>
        <w:t>note 20</w:t>
      </w:r>
      <w:r w:rsidRPr="00537664">
        <w:rPr>
          <w:rFonts w:ascii="Times New Roman" w:hAnsi="Times New Roman"/>
        </w:rPr>
        <w:t xml:space="preserve"> at p. 13</w:t>
      </w:r>
    </w:p>
  </w:footnote>
  <w:footnote w:id="29">
    <w:p w14:paraId="064C99F2" w14:textId="3072EBC9" w:rsidR="00B9134D" w:rsidRPr="0071567C" w:rsidRDefault="00B9134D">
      <w:pPr>
        <w:pStyle w:val="FootnoteText"/>
        <w:rPr>
          <w:lang w:val="en-US"/>
        </w:rPr>
      </w:pPr>
      <w:r w:rsidRPr="00537664">
        <w:rPr>
          <w:rStyle w:val="FootnoteReference"/>
          <w:rFonts w:ascii="Times New Roman" w:hAnsi="Times New Roman"/>
        </w:rPr>
        <w:footnoteRef/>
      </w:r>
      <w:r w:rsidRPr="00537664">
        <w:rPr>
          <w:rFonts w:ascii="Times New Roman" w:hAnsi="Times New Roman"/>
        </w:rPr>
        <w:t xml:space="preserve"> See Hurst, </w:t>
      </w:r>
      <w:r w:rsidR="00537664" w:rsidRPr="00537664">
        <w:rPr>
          <w:rFonts w:ascii="Times New Roman" w:hAnsi="Times New Roman"/>
          <w:i/>
          <w:iCs/>
        </w:rPr>
        <w:t>supra</w:t>
      </w:r>
      <w:r w:rsidR="00537664">
        <w:rPr>
          <w:rFonts w:ascii="Times New Roman" w:hAnsi="Times New Roman"/>
        </w:rPr>
        <w:t xml:space="preserve"> note 5 </w:t>
      </w:r>
      <w:r w:rsidRPr="00537664">
        <w:rPr>
          <w:rFonts w:ascii="Times New Roman" w:hAnsi="Times New Roman"/>
        </w:rPr>
        <w:t xml:space="preserve">at p. 195.  Thanks are owed to Professor Ariella Binik for pointed out the influential reach of this paper and specifically that it been largely adopted by the Council of International Organizations of Medical Sciences:  see </w:t>
      </w:r>
      <w:r w:rsidRPr="00537664">
        <w:rPr>
          <w:rFonts w:ascii="Times New Roman" w:eastAsiaTheme="minorEastAsia" w:hAnsi="Times New Roman"/>
          <w:i/>
          <w:iCs/>
        </w:rPr>
        <w:t>International Ethical Guidelines for Health-related Research Involving Humans</w:t>
      </w:r>
      <w:r w:rsidRPr="00537664">
        <w:rPr>
          <w:rFonts w:ascii="Times New Roman" w:eastAsiaTheme="minorEastAsia" w:hAnsi="Times New Roman"/>
        </w:rPr>
        <w:t>, Fourth Edition. Geneva. Council for International Organizations of Medical Sciences (CIOMS); 2016.</w:t>
      </w:r>
    </w:p>
  </w:footnote>
  <w:footnote w:id="30">
    <w:p w14:paraId="71562433" w14:textId="095BF273"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Hurst</w:t>
      </w:r>
      <w:r w:rsidR="00537664" w:rsidRPr="00537664">
        <w:rPr>
          <w:rFonts w:ascii="Times New Roman" w:hAnsi="Times New Roman"/>
        </w:rPr>
        <w:t xml:space="preserve">, </w:t>
      </w:r>
      <w:r w:rsidR="00537664" w:rsidRPr="00537664">
        <w:rPr>
          <w:rFonts w:ascii="Times New Roman" w:hAnsi="Times New Roman"/>
          <w:i/>
          <w:iCs/>
        </w:rPr>
        <w:t xml:space="preserve">supra </w:t>
      </w:r>
      <w:r w:rsidR="00537664" w:rsidRPr="00537664">
        <w:rPr>
          <w:rFonts w:ascii="Times New Roman" w:hAnsi="Times New Roman"/>
        </w:rPr>
        <w:t>note 5</w:t>
      </w:r>
      <w:r w:rsidRPr="00537664">
        <w:rPr>
          <w:rFonts w:ascii="Times New Roman" w:hAnsi="Times New Roman"/>
        </w:rPr>
        <w:t xml:space="preserve"> at p.197</w:t>
      </w:r>
    </w:p>
  </w:footnote>
  <w:footnote w:id="31">
    <w:p w14:paraId="099DD4BF" w14:textId="0D85A4E7"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For an excellent discussion of the debates and an argument for collective duties to give effect to the international hum right to subsistence see </w:t>
      </w:r>
      <w:r w:rsidRPr="00537664">
        <w:rPr>
          <w:rFonts w:ascii="Times New Roman" w:hAnsi="Times New Roman"/>
          <w:lang w:val="en-US"/>
        </w:rPr>
        <w:t xml:space="preserve">Igneski, Violetta. “The Human Right to Subsistence and the Collective Duty to Aid”. </w:t>
      </w:r>
      <w:r w:rsidRPr="00537664">
        <w:rPr>
          <w:rFonts w:ascii="Times New Roman" w:hAnsi="Times New Roman"/>
          <w:i/>
          <w:iCs/>
          <w:lang w:val="en-US"/>
        </w:rPr>
        <w:t>The Journal of Value Inquiry</w:t>
      </w:r>
      <w:r w:rsidRPr="00537664">
        <w:rPr>
          <w:rFonts w:ascii="Times New Roman" w:hAnsi="Times New Roman"/>
          <w:lang w:val="en-US"/>
        </w:rPr>
        <w:t xml:space="preserve">, 51. (2017) 33-50.  </w:t>
      </w:r>
    </w:p>
  </w:footnote>
  <w:footnote w:id="32">
    <w:p w14:paraId="229DEEFA" w14:textId="31DDD16E" w:rsidR="00B9134D" w:rsidRPr="00537664" w:rsidRDefault="00B9134D" w:rsidP="005F417E">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Hurst</w:t>
      </w:r>
      <w:r w:rsidR="00537664" w:rsidRPr="00537664">
        <w:rPr>
          <w:rFonts w:ascii="Times New Roman" w:hAnsi="Times New Roman"/>
        </w:rPr>
        <w:t xml:space="preserve">, </w:t>
      </w:r>
      <w:r w:rsidR="00537664" w:rsidRPr="00537664">
        <w:rPr>
          <w:rFonts w:ascii="Times New Roman" w:hAnsi="Times New Roman"/>
          <w:i/>
          <w:iCs/>
        </w:rPr>
        <w:t>supra</w:t>
      </w:r>
      <w:r w:rsidR="00537664" w:rsidRPr="00537664">
        <w:rPr>
          <w:rFonts w:ascii="Times New Roman" w:hAnsi="Times New Roman"/>
        </w:rPr>
        <w:t xml:space="preserve"> note 5</w:t>
      </w:r>
      <w:r w:rsidRPr="00537664">
        <w:rPr>
          <w:rFonts w:ascii="Times New Roman" w:hAnsi="Times New Roman"/>
        </w:rPr>
        <w:t xml:space="preserve"> at p. 202</w:t>
      </w:r>
    </w:p>
  </w:footnote>
  <w:footnote w:id="33">
    <w:p w14:paraId="36601AE4" w14:textId="39239B7A"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For a “claim-based” account of vulnerability suggesting a list of possible moral claims that may be made by the vulnerable, developed employing Cass Sunstein’s concept of “incompletely theorized agreement,” and based in equality and justice, see Nicholas Tavaglione, Angela K. Martin, Nathalie Mezger, Sophie Durieux‐Paillard, Anne François, Yves Jackson, and Samia A. Hurst, “Fleshing Out Vulnerability,” </w:t>
      </w:r>
      <w:r w:rsidRPr="00537664">
        <w:rPr>
          <w:rFonts w:ascii="Times New Roman" w:hAnsi="Times New Roman"/>
          <w:i/>
          <w:iCs/>
        </w:rPr>
        <w:t>Bioethics</w:t>
      </w:r>
      <w:r w:rsidRPr="00537664">
        <w:rPr>
          <w:rFonts w:ascii="Times New Roman" w:hAnsi="Times New Roman"/>
        </w:rPr>
        <w:t>, 29(2015): 98-107</w:t>
      </w:r>
    </w:p>
  </w:footnote>
  <w:footnote w:id="34">
    <w:p w14:paraId="68004E62" w14:textId="26E53D83" w:rsidR="00B9134D" w:rsidRPr="00537664" w:rsidRDefault="00B9134D">
      <w:pPr>
        <w:pStyle w:val="FootnoteText"/>
        <w:rPr>
          <w:rFonts w:ascii="Times New Roman" w:hAnsi="Times New Roman"/>
        </w:rPr>
      </w:pPr>
      <w:r w:rsidRPr="00537664">
        <w:rPr>
          <w:rStyle w:val="FootnoteReference"/>
          <w:rFonts w:ascii="Times New Roman" w:hAnsi="Times New Roman"/>
        </w:rPr>
        <w:footnoteRef/>
      </w:r>
      <w:r w:rsidRPr="00537664">
        <w:rPr>
          <w:rFonts w:ascii="Times New Roman" w:hAnsi="Times New Roman"/>
        </w:rPr>
        <w:t xml:space="preserve"> See Kluge</w:t>
      </w:r>
      <w:r w:rsidR="00537664">
        <w:rPr>
          <w:rFonts w:ascii="Times New Roman" w:hAnsi="Times New Roman"/>
        </w:rPr>
        <w:t>,</w:t>
      </w:r>
      <w:r w:rsidR="00537664" w:rsidRPr="00537664">
        <w:rPr>
          <w:rFonts w:ascii="Times New Roman" w:hAnsi="Times New Roman"/>
          <w:i/>
          <w:iCs/>
        </w:rPr>
        <w:t xml:space="preserve"> supra</w:t>
      </w:r>
      <w:r w:rsidR="00537664">
        <w:rPr>
          <w:rFonts w:ascii="Times New Roman" w:hAnsi="Times New Roman"/>
        </w:rPr>
        <w:t xml:space="preserve"> note 19</w:t>
      </w:r>
      <w:r w:rsidRPr="00537664">
        <w:rPr>
          <w:rFonts w:ascii="Times New Roman" w:hAnsi="Times New Roman"/>
        </w:rPr>
        <w:t xml:space="preserve"> at pp. 2-3</w:t>
      </w:r>
    </w:p>
  </w:footnote>
  <w:footnote w:id="35">
    <w:p w14:paraId="34A9523B" w14:textId="04B4A48F" w:rsidR="00B9134D" w:rsidRDefault="00B9134D">
      <w:pPr>
        <w:pStyle w:val="FootnoteText"/>
      </w:pPr>
      <w:r w:rsidRPr="00537664">
        <w:rPr>
          <w:rStyle w:val="FootnoteReference"/>
          <w:rFonts w:ascii="Times New Roman" w:hAnsi="Times New Roman"/>
        </w:rPr>
        <w:footnoteRef/>
      </w:r>
      <w:r w:rsidRPr="00537664">
        <w:rPr>
          <w:rFonts w:ascii="Times New Roman" w:hAnsi="Times New Roman"/>
        </w:rPr>
        <w:t xml:space="preserve"> The Court noted that the Information Booklet given to participants described the basic income pilot “as ‘a three-year study’ and later as lasting ‘up to three years’”, and that “[t]wo of the four Applicants say they were told by Pilot Project staff that the Pilot Project would last three years.”  See </w:t>
      </w:r>
      <w:r w:rsidRPr="00537664">
        <w:rPr>
          <w:rFonts w:ascii="Times New Roman" w:hAnsi="Times New Roman"/>
          <w:i/>
          <w:iCs/>
        </w:rPr>
        <w:t>Bowman</w:t>
      </w:r>
      <w:r w:rsidR="00537664">
        <w:rPr>
          <w:rFonts w:ascii="Times New Roman" w:hAnsi="Times New Roman"/>
          <w:i/>
          <w:iCs/>
        </w:rPr>
        <w:t xml:space="preserve">, supra </w:t>
      </w:r>
      <w:r w:rsidR="00537664">
        <w:rPr>
          <w:rFonts w:ascii="Times New Roman" w:hAnsi="Times New Roman"/>
        </w:rPr>
        <w:t>note 6</w:t>
      </w:r>
      <w:r w:rsidRPr="00537664">
        <w:rPr>
          <w:rFonts w:ascii="Times New Roman" w:hAnsi="Times New Roman"/>
        </w:rPr>
        <w:t xml:space="preserve"> at para. 20 and 22.</w:t>
      </w:r>
    </w:p>
  </w:footnote>
  <w:footnote w:id="36">
    <w:p w14:paraId="1F1D8E55" w14:textId="59ACBAF8"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for example Ernie S. Lightman, Andrew Mitchell, and Beth Wilson. </w:t>
      </w:r>
      <w:r w:rsidRPr="00141232">
        <w:rPr>
          <w:rFonts w:ascii="Times New Roman" w:hAnsi="Times New Roman"/>
          <w:i/>
          <w:iCs/>
        </w:rPr>
        <w:t>Poverty Is Making Us Sick: A Comprehensive Survey of Income and Health in Canada</w:t>
      </w:r>
      <w:r w:rsidRPr="00141232">
        <w:rPr>
          <w:rFonts w:ascii="Times New Roman" w:hAnsi="Times New Roman"/>
        </w:rPr>
        <w:t xml:space="preserve">. Wellesley Institute, 2008: https://books.scholarsportal.info/en/read?id=/ ebooks/ebooks1/ gibson_chrc/2010-08-06/4/10270392 </w:t>
      </w:r>
    </w:p>
  </w:footnote>
  <w:footnote w:id="37">
    <w:p w14:paraId="1B513B72" w14:textId="77777777" w:rsidR="00B9134D" w:rsidRPr="00141232" w:rsidRDefault="00B9134D" w:rsidP="00B31FCD">
      <w:pPr>
        <w:pStyle w:val="FootnoteText"/>
        <w:contextualSpacing/>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Sarah de Leeuw, “Physician activism and prescribing against poverty,” </w:t>
      </w:r>
      <w:r w:rsidRPr="00141232">
        <w:rPr>
          <w:rFonts w:ascii="Times New Roman" w:hAnsi="Times New Roman"/>
          <w:i/>
          <w:iCs/>
        </w:rPr>
        <w:t>Canadian Family Physician</w:t>
      </w:r>
      <w:r w:rsidRPr="00141232">
        <w:rPr>
          <w:rFonts w:ascii="Times New Roman" w:hAnsi="Times New Roman"/>
        </w:rPr>
        <w:t>, Vol. 26 (April 2016): 332, at p. 333</w:t>
      </w:r>
    </w:p>
  </w:footnote>
  <w:footnote w:id="38">
    <w:p w14:paraId="16623C04" w14:textId="0AABB376" w:rsidR="00B9134D" w:rsidRPr="002014D8" w:rsidRDefault="00B9134D" w:rsidP="00B31FCD">
      <w:pPr>
        <w:pStyle w:val="FootnoteText"/>
        <w:contextualSpacing/>
        <w:rPr>
          <w:b/>
          <w:bCs/>
        </w:rPr>
      </w:pPr>
      <w:r w:rsidRPr="00141232">
        <w:rPr>
          <w:rStyle w:val="FootnoteReference"/>
          <w:rFonts w:ascii="Times New Roman" w:hAnsi="Times New Roman"/>
        </w:rPr>
        <w:footnoteRef/>
      </w:r>
      <w:r w:rsidRPr="00141232">
        <w:rPr>
          <w:rFonts w:ascii="Times New Roman" w:hAnsi="Times New Roman"/>
        </w:rPr>
        <w:t xml:space="preserve"> It should be noted that a basic income program essentially describes the delivery of income support and is not necessarily related to the adequacy of that support.  The Basic Income Earth Network (formerly the Basic Income European Network” defines a basic income as “a periodic cash payment unconditionally delivered to all on an individual basis, without means-test or work requirement.”  There are however various disputes about such a benefit, including whether the benefit should be universal or means tested.  The Basic Income Canada Network defines a “Basic Income Guarantee” as one that “ensures everyone an income sufficient to meet basic needs and live with dignity, regardless of work status.”  See </w:t>
      </w:r>
      <w:hyperlink r:id="rId7" w:history="1">
        <w:r w:rsidRPr="00141232">
          <w:rPr>
            <w:rStyle w:val="Hyperlink"/>
            <w:rFonts w:ascii="Times New Roman" w:hAnsi="Times New Roman"/>
          </w:rPr>
          <w:t>https://basicincome.org/basic-income/</w:t>
        </w:r>
      </w:hyperlink>
      <w:r w:rsidRPr="00141232">
        <w:rPr>
          <w:rFonts w:ascii="Times New Roman" w:hAnsi="Times New Roman"/>
        </w:rPr>
        <w:t xml:space="preserve">, and </w:t>
      </w:r>
      <w:hyperlink r:id="rId8" w:history="1">
        <w:r w:rsidRPr="00141232">
          <w:rPr>
            <w:rStyle w:val="Hyperlink"/>
            <w:rFonts w:ascii="Times New Roman" w:hAnsi="Times New Roman"/>
          </w:rPr>
          <w:t>https://www.basicincomecanada.org/about_basic_income</w:t>
        </w:r>
      </w:hyperlink>
      <w:r w:rsidRPr="00141232">
        <w:rPr>
          <w:rFonts w:ascii="Times New Roman" w:hAnsi="Times New Roman"/>
        </w:rPr>
        <w:t>.</w:t>
      </w:r>
      <w:r>
        <w:t xml:space="preserve"> </w:t>
      </w:r>
    </w:p>
  </w:footnote>
  <w:footnote w:id="39">
    <w:p w14:paraId="51A51063" w14:textId="77777777" w:rsidR="00B9134D" w:rsidRPr="00141232" w:rsidRDefault="00B9134D" w:rsidP="00B31FC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With regard to the positive health effects of the Manitoba Basic Annual Income Experiment conducted in Dauphin, Manitoba from 1974-1979 see Forget, Evelyn L. "The Town with No Poverty: The Health Effects of a Canadian Guaranteed Annual Income Field Experiment." </w:t>
      </w:r>
      <w:r w:rsidRPr="00141232">
        <w:rPr>
          <w:rFonts w:ascii="Times New Roman" w:hAnsi="Times New Roman"/>
          <w:i/>
          <w:iCs/>
        </w:rPr>
        <w:t>Canadian Public Policy / Analyse De Politiques</w:t>
      </w:r>
      <w:r w:rsidRPr="00141232">
        <w:rPr>
          <w:rFonts w:ascii="Times New Roman" w:hAnsi="Times New Roman"/>
        </w:rPr>
        <w:t> 37, no. 3 (2011): 283-305.</w:t>
      </w:r>
    </w:p>
  </w:footnote>
  <w:footnote w:id="40">
    <w:p w14:paraId="447282E0" w14:textId="77777777" w:rsidR="00B9134D" w:rsidRPr="00141232" w:rsidRDefault="00B9134D" w:rsidP="00B31FC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Mohammad Ferdosi, Tom McDowell, Wayne Lewchuk and Stephanie Ross, “Southern Ontario’s Basic Income Experience,” (Hamilton RoundTable for Poverty Reduction, McMaster University Labour Studies, and Hamilton Community Foundation, Hamilton, March 2020.) </w:t>
      </w:r>
      <w:hyperlink r:id="rId9" w:history="1">
        <w:r w:rsidRPr="00141232">
          <w:rPr>
            <w:rStyle w:val="Hyperlink"/>
            <w:rFonts w:ascii="Times New Roman" w:hAnsi="Times New Roman"/>
          </w:rPr>
          <w:t>https://labourstudies.mcmaster.ca/documents/southern-ontarios-basic-income-experience.pdf</w:t>
        </w:r>
      </w:hyperlink>
      <w:r w:rsidRPr="00141232">
        <w:rPr>
          <w:rFonts w:ascii="Times New Roman" w:hAnsi="Times New Roman"/>
        </w:rPr>
        <w:t xml:space="preserve"> </w:t>
      </w:r>
    </w:p>
  </w:footnote>
  <w:footnote w:id="41">
    <w:p w14:paraId="396727C9" w14:textId="6FF7CB18" w:rsidR="00B9134D" w:rsidRDefault="00B9134D">
      <w:pPr>
        <w:pStyle w:val="FootnoteText"/>
      </w:pPr>
      <w:r w:rsidRPr="00141232">
        <w:rPr>
          <w:rStyle w:val="FootnoteReference"/>
          <w:rFonts w:ascii="Times New Roman" w:hAnsi="Times New Roman"/>
        </w:rPr>
        <w:footnoteRef/>
      </w:r>
      <w:r w:rsidRPr="00141232">
        <w:rPr>
          <w:rFonts w:ascii="Times New Roman" w:hAnsi="Times New Roman"/>
        </w:rPr>
        <w:t xml:space="preserve"> The United Nations Committee on Economic, Social and Cultural Rights has commented with regard to Canada that “</w:t>
      </w:r>
      <w:r w:rsidRPr="00141232">
        <w:rPr>
          <w:rFonts w:ascii="Times New Roman" w:hAnsi="Times New Roman"/>
          <w:lang w:val="en-US"/>
        </w:rPr>
        <w:t xml:space="preserve">[t]he Committee is concerned at the inadequate social assistance rates in all provinces and for all households.”  See Committee on Economic, Social and Cultural Rights (CESCR), </w:t>
      </w:r>
      <w:r w:rsidRPr="00141232">
        <w:rPr>
          <w:rFonts w:ascii="Times New Roman" w:hAnsi="Times New Roman"/>
          <w:i/>
          <w:iCs/>
          <w:lang w:val="en-US"/>
        </w:rPr>
        <w:t>Concluding Observations on the Sixth Periodic Report of Canada: Geneva</w:t>
      </w:r>
      <w:r w:rsidRPr="00141232">
        <w:rPr>
          <w:rFonts w:ascii="Times New Roman" w:hAnsi="Times New Roman"/>
          <w:lang w:val="en-US"/>
        </w:rPr>
        <w:t xml:space="preserve">, 23 March 2016 E/C.12/CAN/CO/6, available at: </w:t>
      </w:r>
      <w:hyperlink r:id="rId10" w:history="1">
        <w:r w:rsidRPr="00141232">
          <w:rPr>
            <w:rStyle w:val="Hyperlink"/>
            <w:rFonts w:ascii="Times New Roman" w:hAnsi="Times New Roman"/>
            <w:lang w:val="en-US"/>
          </w:rPr>
          <w:t>https://tbinternet.ohchr.org/_layouts/15/treatybodyexternal/Download.aspx?symbolno=E%2fC.12%2fCAN%2fCO%2f6&amp;Lang=en</w:t>
        </w:r>
      </w:hyperlink>
      <w:r>
        <w:rPr>
          <w:lang w:val="en-US"/>
        </w:rPr>
        <w:t xml:space="preserve">   </w:t>
      </w:r>
    </w:p>
  </w:footnote>
  <w:footnote w:id="42">
    <w:p w14:paraId="3510935D" w14:textId="77777777" w:rsidR="00B9134D" w:rsidRPr="00141232" w:rsidRDefault="00B9134D" w:rsidP="00ED7AFB">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Christine Grady, “Vulnerability in Research: Individuals with Limited Financial and/or Social Resources,” </w:t>
      </w:r>
      <w:r w:rsidRPr="00141232">
        <w:rPr>
          <w:rFonts w:ascii="Times New Roman" w:hAnsi="Times New Roman"/>
          <w:i/>
          <w:iCs/>
        </w:rPr>
        <w:t>Journal of Law, Medicine &amp; Ethics</w:t>
      </w:r>
      <w:r w:rsidRPr="00141232">
        <w:rPr>
          <w:rFonts w:ascii="Times New Roman" w:hAnsi="Times New Roman"/>
        </w:rPr>
        <w:t xml:space="preserve">, (2009): 19-12 at p. 19, and also </w:t>
      </w:r>
    </w:p>
  </w:footnote>
  <w:footnote w:id="43">
    <w:p w14:paraId="57F22815" w14:textId="56EFB178" w:rsidR="00B9134D" w:rsidRPr="00CF6D18" w:rsidRDefault="00B9134D" w:rsidP="00ED7AFB">
      <w:pPr>
        <w:pStyle w:val="FootnoteText"/>
        <w:rPr>
          <w:rFonts w:ascii="Times New Roman" w:hAnsi="Times New Roman"/>
        </w:rPr>
      </w:pPr>
      <w:r w:rsidRPr="00CF6D18">
        <w:rPr>
          <w:rStyle w:val="FootnoteReference"/>
          <w:rFonts w:ascii="Times New Roman" w:hAnsi="Times New Roman"/>
        </w:rPr>
        <w:footnoteRef/>
      </w:r>
      <w:r w:rsidRPr="00CF6D18">
        <w:rPr>
          <w:rFonts w:ascii="Times New Roman" w:hAnsi="Times New Roman"/>
        </w:rPr>
        <w:t xml:space="preserve"> See Hurst,</w:t>
      </w:r>
      <w:r w:rsidRPr="00CF6D18">
        <w:rPr>
          <w:rFonts w:ascii="Times New Roman" w:hAnsi="Times New Roman"/>
          <w:i/>
          <w:iCs/>
        </w:rPr>
        <w:t xml:space="preserve"> </w:t>
      </w:r>
      <w:r w:rsidR="00141232" w:rsidRPr="00CF6D18">
        <w:rPr>
          <w:rFonts w:ascii="Times New Roman" w:hAnsi="Times New Roman"/>
          <w:i/>
          <w:iCs/>
        </w:rPr>
        <w:t>supra</w:t>
      </w:r>
      <w:r w:rsidR="00141232" w:rsidRPr="00CF6D18">
        <w:rPr>
          <w:rFonts w:ascii="Times New Roman" w:hAnsi="Times New Roman"/>
        </w:rPr>
        <w:t xml:space="preserve"> note 5, </w:t>
      </w:r>
      <w:r w:rsidRPr="00CF6D18">
        <w:rPr>
          <w:rFonts w:ascii="Times New Roman" w:hAnsi="Times New Roman"/>
        </w:rPr>
        <w:t>Table 1, at p. 193</w:t>
      </w:r>
      <w:r w:rsidR="00CF6D18" w:rsidRPr="00CF6D18">
        <w:rPr>
          <w:rFonts w:ascii="Times New Roman" w:hAnsi="Times New Roman"/>
        </w:rPr>
        <w:t xml:space="preserve">.  </w:t>
      </w:r>
      <w:r w:rsidR="00CF6D18">
        <w:rPr>
          <w:rFonts w:ascii="Times New Roman" w:hAnsi="Times New Roman"/>
        </w:rPr>
        <w:t xml:space="preserve">In Canada, “poverty” is currently mentioned with regard to irresistible inducements; </w:t>
      </w:r>
      <w:r w:rsidR="00CF6D18" w:rsidRPr="00CF6D18">
        <w:rPr>
          <w:rFonts w:ascii="Times New Roman" w:hAnsi="Times New Roman"/>
        </w:rPr>
        <w:t>see Social Sciences and Humanities Research Council, </w:t>
      </w:r>
      <w:r w:rsidR="00CF6D18" w:rsidRPr="00CF6D18">
        <w:rPr>
          <w:rFonts w:ascii="Times New Roman" w:hAnsi="Times New Roman"/>
          <w:i/>
          <w:iCs/>
        </w:rPr>
        <w:t>Tri-Council Policy Statement: Ethical Conduct for Research Involving Humans</w:t>
      </w:r>
      <w:r w:rsidR="00CF6D18" w:rsidRPr="00CF6D18">
        <w:rPr>
          <w:rFonts w:ascii="Times New Roman" w:hAnsi="Times New Roman"/>
        </w:rPr>
        <w:t>, December 2018</w:t>
      </w:r>
      <w:r w:rsidR="00CF6D18">
        <w:rPr>
          <w:rFonts w:ascii="Times New Roman" w:hAnsi="Times New Roman"/>
        </w:rPr>
        <w:t>, Article 4.7 at p. 54.</w:t>
      </w:r>
      <w:r w:rsidR="00CF6D18" w:rsidRPr="00CF6D18">
        <w:rPr>
          <w:rFonts w:ascii="Times New Roman" w:hAnsi="Times New Roman"/>
        </w:rPr>
        <w:t xml:space="preserve">. </w:t>
      </w:r>
      <w:hyperlink r:id="rId11" w:history="1">
        <w:r w:rsidR="00CF6D18" w:rsidRPr="00CF6D18">
          <w:rPr>
            <w:rStyle w:val="Hyperlink"/>
            <w:rFonts w:ascii="Times New Roman" w:hAnsi="Times New Roman"/>
          </w:rPr>
          <w:t>http://www.pre.ethics.gc.ca/eng/documents/tcps2-2018-en-interactive-final.pdf</w:t>
        </w:r>
      </w:hyperlink>
    </w:p>
  </w:footnote>
  <w:footnote w:id="44">
    <w:p w14:paraId="0D9609D9" w14:textId="38D45784"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w:t>
      </w:r>
      <w:r w:rsidR="00141232" w:rsidRPr="00141232">
        <w:rPr>
          <w:rFonts w:ascii="Times New Roman" w:hAnsi="Times New Roman"/>
        </w:rPr>
        <w:t xml:space="preserve">Florencia Luna, “Elucidating the Concept of Vulnerability: Layers not Labels,” </w:t>
      </w:r>
      <w:r w:rsidR="00141232" w:rsidRPr="00141232">
        <w:rPr>
          <w:rFonts w:ascii="Times New Roman" w:hAnsi="Times New Roman"/>
          <w:i/>
        </w:rPr>
        <w:t>International Journal of Feminist Approaches to Bioethics</w:t>
      </w:r>
      <w:r w:rsidR="00141232" w:rsidRPr="00141232">
        <w:rPr>
          <w:rFonts w:ascii="Times New Roman" w:hAnsi="Times New Roman"/>
        </w:rPr>
        <w:t xml:space="preserve">, 2, no. 1 (Spring 2009): 121-139 </w:t>
      </w:r>
      <w:r w:rsidRPr="00141232">
        <w:rPr>
          <w:rFonts w:ascii="Times New Roman" w:hAnsi="Times New Roman"/>
        </w:rPr>
        <w:t>at pp. 121-128</w:t>
      </w:r>
    </w:p>
  </w:footnote>
  <w:footnote w:id="45">
    <w:p w14:paraId="351CD18E" w14:textId="7922DD7F" w:rsidR="00B9134D" w:rsidRPr="009C1A10" w:rsidRDefault="00B9134D">
      <w:pPr>
        <w:pStyle w:val="FootnoteText"/>
        <w:rPr>
          <w:lang w:val="en-US"/>
        </w:rPr>
      </w:pPr>
      <w:r w:rsidRPr="00141232">
        <w:rPr>
          <w:rStyle w:val="FootnoteReference"/>
          <w:rFonts w:ascii="Times New Roman" w:hAnsi="Times New Roman"/>
        </w:rPr>
        <w:footnoteRef/>
      </w:r>
      <w:r w:rsidRPr="00141232">
        <w:rPr>
          <w:rFonts w:ascii="Times New Roman" w:hAnsi="Times New Roman"/>
        </w:rPr>
        <w:t xml:space="preserve"> </w:t>
      </w:r>
      <w:r w:rsidR="00141232" w:rsidRPr="00141232">
        <w:rPr>
          <w:rFonts w:ascii="Times New Roman" w:hAnsi="Times New Roman"/>
        </w:rPr>
        <w:t xml:space="preserve">See </w:t>
      </w:r>
      <w:r w:rsidR="00141232" w:rsidRPr="00141232">
        <w:rPr>
          <w:rFonts w:ascii="Times New Roman" w:hAnsi="Times New Roman"/>
          <w:i/>
          <w:iCs/>
        </w:rPr>
        <w:t>Ibid.</w:t>
      </w:r>
      <w:r w:rsidRPr="00141232">
        <w:rPr>
          <w:rFonts w:ascii="Times New Roman" w:hAnsi="Times New Roman"/>
        </w:rPr>
        <w:t xml:space="preserve"> at pp. 127-128 a</w:t>
      </w:r>
      <w:r w:rsidR="00141232">
        <w:rPr>
          <w:rFonts w:ascii="Times New Roman" w:hAnsi="Times New Roman"/>
        </w:rPr>
        <w:t>s well as</w:t>
      </w:r>
      <w:r w:rsidRPr="00141232">
        <w:rPr>
          <w:rFonts w:ascii="Times New Roman" w:hAnsi="Times New Roman"/>
        </w:rPr>
        <w:t xml:space="preserve"> </w:t>
      </w:r>
      <w:r w:rsidRPr="00141232">
        <w:rPr>
          <w:rFonts w:ascii="Times New Roman" w:eastAsiaTheme="minorEastAsia" w:hAnsi="Times New Roman"/>
        </w:rPr>
        <w:t>Carol Levine, Ruth Faden, Christine Grady, Dale Hammerschmidt, Lisa Eckenwiler &amp; Jeremy Sugarman</w:t>
      </w:r>
      <w:r w:rsidRPr="00141232">
        <w:rPr>
          <w:rFonts w:ascii="Times New Roman" w:hAnsi="Times New Roman"/>
        </w:rPr>
        <w:t>, “</w:t>
      </w:r>
      <w:r w:rsidRPr="00141232">
        <w:rPr>
          <w:rFonts w:ascii="Times New Roman" w:eastAsiaTheme="minorEastAsia" w:hAnsi="Times New Roman"/>
        </w:rPr>
        <w:t>The Limitations of ‘Vulnerability’ as a Protection for Human Research Participants,</w:t>
      </w:r>
      <w:r w:rsidRPr="00141232">
        <w:rPr>
          <w:rFonts w:ascii="Times New Roman" w:hAnsi="Times New Roman"/>
        </w:rPr>
        <w:t>”</w:t>
      </w:r>
      <w:r w:rsidRPr="00141232">
        <w:rPr>
          <w:rFonts w:ascii="Times New Roman" w:eastAsiaTheme="minorEastAsia" w:hAnsi="Times New Roman"/>
        </w:rPr>
        <w:t> </w:t>
      </w:r>
      <w:r w:rsidRPr="00141232">
        <w:rPr>
          <w:rFonts w:ascii="Times New Roman" w:eastAsiaTheme="minorEastAsia" w:hAnsi="Times New Roman"/>
          <w:i/>
          <w:iCs/>
        </w:rPr>
        <w:t>The American Journal of Bioethics</w:t>
      </w:r>
      <w:r w:rsidRPr="00141232">
        <w:rPr>
          <w:rFonts w:ascii="Times New Roman" w:eastAsiaTheme="minorEastAsia" w:hAnsi="Times New Roman"/>
        </w:rPr>
        <w:t>, 4:3,</w:t>
      </w:r>
      <w:r w:rsidRPr="00141232">
        <w:rPr>
          <w:rFonts w:ascii="Times New Roman" w:hAnsi="Times New Roman"/>
        </w:rPr>
        <w:t xml:space="preserve"> (2004):</w:t>
      </w:r>
      <w:r w:rsidRPr="00141232">
        <w:rPr>
          <w:rFonts w:ascii="Times New Roman" w:eastAsiaTheme="minorEastAsia" w:hAnsi="Times New Roman"/>
        </w:rPr>
        <w:t> 44-49, at p. 45</w:t>
      </w:r>
    </w:p>
  </w:footnote>
  <w:footnote w:id="46">
    <w:p w14:paraId="4016BB8F" w14:textId="076A220E"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Luna</w:t>
      </w:r>
      <w:r w:rsidR="00141232" w:rsidRPr="00141232">
        <w:rPr>
          <w:rFonts w:ascii="Times New Roman" w:hAnsi="Times New Roman"/>
        </w:rPr>
        <w:t xml:space="preserve">, </w:t>
      </w:r>
      <w:r w:rsidR="00141232" w:rsidRPr="00141232">
        <w:rPr>
          <w:rFonts w:ascii="Times New Roman" w:hAnsi="Times New Roman"/>
          <w:i/>
          <w:iCs/>
        </w:rPr>
        <w:t>supra</w:t>
      </w:r>
      <w:r w:rsidR="00141232" w:rsidRPr="00141232">
        <w:rPr>
          <w:rFonts w:ascii="Times New Roman" w:hAnsi="Times New Roman"/>
        </w:rPr>
        <w:t xml:space="preserve"> note 43 </w:t>
      </w:r>
      <w:r w:rsidRPr="00141232">
        <w:rPr>
          <w:rFonts w:ascii="Times New Roman" w:hAnsi="Times New Roman"/>
        </w:rPr>
        <w:t>at p. 128</w:t>
      </w:r>
    </w:p>
  </w:footnote>
  <w:footnote w:id="47">
    <w:p w14:paraId="43AC5EF9" w14:textId="4EF2C9BF"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Florencia Luna, “Identifying and evaluating layers of vulnerability – a way forward,” </w:t>
      </w:r>
      <w:r w:rsidRPr="00141232">
        <w:rPr>
          <w:rFonts w:ascii="Times New Roman" w:hAnsi="Times New Roman"/>
          <w:i/>
          <w:iCs/>
        </w:rPr>
        <w:t>Developing World Bioethics</w:t>
      </w:r>
      <w:r w:rsidRPr="00141232">
        <w:rPr>
          <w:rFonts w:ascii="Times New Roman" w:hAnsi="Times New Roman"/>
        </w:rPr>
        <w:t>, 19(2), (2019): 86-95 at p. 88.</w:t>
      </w:r>
    </w:p>
  </w:footnote>
  <w:footnote w:id="48">
    <w:p w14:paraId="12EA44A8" w14:textId="04620B9A"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Lun</w:t>
      </w:r>
      <w:r w:rsidR="00141232" w:rsidRPr="00141232">
        <w:rPr>
          <w:rFonts w:ascii="Times New Roman" w:hAnsi="Times New Roman"/>
        </w:rPr>
        <w:t xml:space="preserve">a, </w:t>
      </w:r>
      <w:r w:rsidR="00141232" w:rsidRPr="00141232">
        <w:rPr>
          <w:rFonts w:ascii="Times New Roman" w:hAnsi="Times New Roman"/>
          <w:i/>
          <w:iCs/>
        </w:rPr>
        <w:t>supra</w:t>
      </w:r>
      <w:r w:rsidR="00141232" w:rsidRPr="00141232">
        <w:rPr>
          <w:rFonts w:ascii="Times New Roman" w:hAnsi="Times New Roman"/>
        </w:rPr>
        <w:t xml:space="preserve"> note 43</w:t>
      </w:r>
      <w:r w:rsidRPr="00141232">
        <w:rPr>
          <w:rFonts w:ascii="Times New Roman" w:hAnsi="Times New Roman"/>
        </w:rPr>
        <w:t xml:space="preserve"> at p. 128</w:t>
      </w:r>
    </w:p>
  </w:footnote>
  <w:footnote w:id="49">
    <w:p w14:paraId="78831ACD" w14:textId="3C4A6243" w:rsidR="00B9134D" w:rsidRDefault="00B9134D">
      <w:pPr>
        <w:pStyle w:val="FootnoteText"/>
      </w:pPr>
      <w:r w:rsidRPr="00141232">
        <w:rPr>
          <w:rStyle w:val="FootnoteReference"/>
          <w:rFonts w:ascii="Times New Roman" w:hAnsi="Times New Roman"/>
        </w:rPr>
        <w:footnoteRef/>
      </w:r>
      <w:r w:rsidRPr="00141232">
        <w:rPr>
          <w:rFonts w:ascii="Times New Roman" w:hAnsi="Times New Roman"/>
        </w:rPr>
        <w:t xml:space="preserve"> See Luna</w:t>
      </w:r>
      <w:r w:rsidR="00141232" w:rsidRPr="00141232">
        <w:rPr>
          <w:rFonts w:ascii="Times New Roman" w:hAnsi="Times New Roman"/>
        </w:rPr>
        <w:t>,</w:t>
      </w:r>
      <w:r w:rsidR="00141232" w:rsidRPr="00141232">
        <w:rPr>
          <w:rFonts w:ascii="Times New Roman" w:hAnsi="Times New Roman"/>
          <w:i/>
          <w:iCs/>
        </w:rPr>
        <w:t xml:space="preserve"> supra</w:t>
      </w:r>
      <w:r w:rsidR="00141232" w:rsidRPr="00141232">
        <w:rPr>
          <w:rFonts w:ascii="Times New Roman" w:hAnsi="Times New Roman"/>
        </w:rPr>
        <w:t xml:space="preserve"> note 43</w:t>
      </w:r>
      <w:r w:rsidRPr="00141232">
        <w:rPr>
          <w:rFonts w:ascii="Times New Roman" w:hAnsi="Times New Roman"/>
        </w:rPr>
        <w:t xml:space="preserve"> at pp. 134-135</w:t>
      </w:r>
    </w:p>
  </w:footnote>
  <w:footnote w:id="50">
    <w:p w14:paraId="4BD36D7F" w14:textId="0C520001"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Those who take a Hurstian approach to vulnerability might however see the harms incurred by participants as wrongs which they have some duty to address, perhaps based on my arguments that these harms were predictable.  Hurst point out that vulnerability is hard to define given that “it is as multiple as possible wrongs and as sources of greater likelihood of suffering them.” (see p. 197), and she also notes that there may in some instances be a duty to rescue (see p. 201).  But as I hope the potential objections that I attribute to the imaginary Hurstian illustrate, there are multiple hurdle for the Hurstian to get over before they would conclude that they owe a duty of special protection to the participants.  </w:t>
      </w:r>
    </w:p>
  </w:footnote>
  <w:footnote w:id="51">
    <w:p w14:paraId="72E6CA33" w14:textId="41BE95DD" w:rsidR="00B9134D" w:rsidRPr="00141232" w:rsidRDefault="00B9134D">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See Hurst</w:t>
      </w:r>
      <w:r w:rsidR="00141232" w:rsidRPr="00141232">
        <w:rPr>
          <w:rFonts w:ascii="Times New Roman" w:hAnsi="Times New Roman"/>
        </w:rPr>
        <w:t xml:space="preserve">, </w:t>
      </w:r>
      <w:r w:rsidR="00141232" w:rsidRPr="00141232">
        <w:rPr>
          <w:rFonts w:ascii="Times New Roman" w:hAnsi="Times New Roman"/>
          <w:i/>
          <w:iCs/>
        </w:rPr>
        <w:t>supra</w:t>
      </w:r>
      <w:r w:rsidR="00141232" w:rsidRPr="00141232">
        <w:rPr>
          <w:rFonts w:ascii="Times New Roman" w:hAnsi="Times New Roman"/>
        </w:rPr>
        <w:t xml:space="preserve"> note 5</w:t>
      </w:r>
      <w:r w:rsidRPr="00141232">
        <w:rPr>
          <w:rFonts w:ascii="Times New Roman" w:hAnsi="Times New Roman"/>
        </w:rPr>
        <w:t xml:space="preserve"> at p. 195</w:t>
      </w:r>
    </w:p>
  </w:footnote>
  <w:footnote w:id="52">
    <w:p w14:paraId="510E241C" w14:textId="77777777" w:rsidR="00B9134D" w:rsidRPr="00141232" w:rsidRDefault="00B9134D" w:rsidP="00CD27DE">
      <w:pPr>
        <w:pStyle w:val="FootnoteText"/>
        <w:rPr>
          <w:rFonts w:ascii="Times New Roman" w:hAnsi="Times New Roman"/>
        </w:rPr>
      </w:pPr>
      <w:r w:rsidRPr="00141232">
        <w:rPr>
          <w:rStyle w:val="FootnoteReference"/>
          <w:rFonts w:ascii="Times New Roman" w:hAnsi="Times New Roman"/>
        </w:rPr>
        <w:footnoteRef/>
      </w:r>
      <w:r w:rsidRPr="00141232">
        <w:rPr>
          <w:rFonts w:ascii="Times New Roman" w:hAnsi="Times New Roman"/>
        </w:rPr>
        <w:t xml:space="preserve"> As Hurst notes:</w:t>
      </w:r>
    </w:p>
    <w:p w14:paraId="268C1CDE" w14:textId="77777777" w:rsidR="00B9134D" w:rsidRPr="00141232" w:rsidRDefault="00B9134D" w:rsidP="00CD27DE">
      <w:pPr>
        <w:pStyle w:val="FootnoteText"/>
        <w:ind w:left="284" w:right="284"/>
        <w:rPr>
          <w:rFonts w:ascii="Times New Roman" w:hAnsi="Times New Roman"/>
          <w:i/>
          <w:iCs/>
        </w:rPr>
      </w:pPr>
      <w:r w:rsidRPr="00141232">
        <w:rPr>
          <w:rFonts w:ascii="Times New Roman" w:hAnsi="Times New Roman"/>
          <w:i/>
          <w:iCs/>
        </w:rPr>
        <w:t>The obligation to avoid wronging is not derived directly from a principle of vulnerability but from another source: specifically, from a valid claim that some wrong should be avoided, including the wrong we incur when a good to which we have a valid claim is denied us.</w:t>
      </w:r>
    </w:p>
    <w:p w14:paraId="683C2A31" w14:textId="13461D3B" w:rsidR="00B9134D" w:rsidRDefault="00B9134D" w:rsidP="00CD27DE">
      <w:pPr>
        <w:pStyle w:val="FootnoteText"/>
      </w:pPr>
      <w:r w:rsidRPr="00141232">
        <w:rPr>
          <w:rFonts w:ascii="Times New Roman" w:hAnsi="Times New Roman"/>
        </w:rPr>
        <w:t>See Hurst</w:t>
      </w:r>
      <w:r w:rsidR="00141232" w:rsidRPr="00141232">
        <w:rPr>
          <w:rFonts w:ascii="Times New Roman" w:hAnsi="Times New Roman"/>
        </w:rPr>
        <w:t xml:space="preserve">, </w:t>
      </w:r>
      <w:r w:rsidR="00141232" w:rsidRPr="00141232">
        <w:rPr>
          <w:rFonts w:ascii="Times New Roman" w:hAnsi="Times New Roman"/>
          <w:i/>
          <w:iCs/>
        </w:rPr>
        <w:t xml:space="preserve">supra </w:t>
      </w:r>
      <w:r w:rsidR="00141232" w:rsidRPr="00141232">
        <w:rPr>
          <w:rFonts w:ascii="Times New Roman" w:hAnsi="Times New Roman"/>
        </w:rPr>
        <w:t>note 5</w:t>
      </w:r>
      <w:r w:rsidRPr="00141232">
        <w:rPr>
          <w:rFonts w:ascii="Times New Roman" w:hAnsi="Times New Roman"/>
        </w:rPr>
        <w:t xml:space="preserve"> at p. 201</w:t>
      </w:r>
    </w:p>
  </w:footnote>
  <w:footnote w:id="53">
    <w:p w14:paraId="25B5A3AD" w14:textId="27120586" w:rsidR="00C14CBE" w:rsidRPr="00645B1C" w:rsidRDefault="00C14CBE">
      <w:pPr>
        <w:pStyle w:val="FootnoteText"/>
        <w:rPr>
          <w:rFonts w:ascii="Times New Roman" w:hAnsi="Times New Roman"/>
          <w:i/>
          <w:iCs/>
        </w:rPr>
      </w:pPr>
      <w:r w:rsidRPr="00645B1C">
        <w:rPr>
          <w:rStyle w:val="FootnoteReference"/>
          <w:rFonts w:ascii="Times New Roman" w:hAnsi="Times New Roman"/>
          <w:i/>
          <w:iCs/>
        </w:rPr>
        <w:footnoteRef/>
      </w:r>
      <w:r w:rsidRPr="00645B1C">
        <w:rPr>
          <w:rFonts w:ascii="Times New Roman" w:hAnsi="Times New Roman"/>
          <w:i/>
          <w:iCs/>
        </w:rPr>
        <w:t xml:space="preserve"> </w:t>
      </w:r>
      <w:r w:rsidR="00645B1C">
        <w:rPr>
          <w:rFonts w:ascii="Times New Roman" w:hAnsi="Times New Roman"/>
        </w:rPr>
        <w:t xml:space="preserve">It should also be noted, as Hurst points out, that her requirement to inquire whether one has a share in the duty was already an expansion of the IRB responsibilities current at that time which were based on consulting a taxonomy.  </w:t>
      </w:r>
      <w:r w:rsidR="00645B1C" w:rsidRPr="00645B1C">
        <w:rPr>
          <w:rFonts w:ascii="Times New Roman" w:hAnsi="Times New Roman"/>
        </w:rPr>
        <w:t>See</w:t>
      </w:r>
      <w:r w:rsidR="00645B1C" w:rsidRPr="00645B1C">
        <w:rPr>
          <w:rFonts w:ascii="Times New Roman" w:hAnsi="Times New Roman"/>
          <w:i/>
          <w:iCs/>
        </w:rPr>
        <w:t xml:space="preserve"> </w:t>
      </w:r>
      <w:r w:rsidR="00645B1C" w:rsidRPr="00645B1C">
        <w:rPr>
          <w:rFonts w:ascii="Times New Roman" w:hAnsi="Times New Roman"/>
        </w:rPr>
        <w:t>Hurst</w:t>
      </w:r>
      <w:r w:rsidR="00645B1C" w:rsidRPr="00645B1C">
        <w:rPr>
          <w:rFonts w:ascii="Times New Roman" w:hAnsi="Times New Roman"/>
          <w:i/>
          <w:iCs/>
        </w:rPr>
        <w:t xml:space="preserve">, supra </w:t>
      </w:r>
      <w:r w:rsidR="00645B1C" w:rsidRPr="00645B1C">
        <w:rPr>
          <w:rFonts w:ascii="Times New Roman" w:hAnsi="Times New Roman"/>
        </w:rPr>
        <w:t>note 5 at pp. 197-198</w:t>
      </w:r>
      <w:r w:rsidR="00645B1C">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285"/>
    <w:multiLevelType w:val="multilevel"/>
    <w:tmpl w:val="BE4AB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87044"/>
    <w:multiLevelType w:val="hybridMultilevel"/>
    <w:tmpl w:val="7CEC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3074"/>
    <w:multiLevelType w:val="hybridMultilevel"/>
    <w:tmpl w:val="15B0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D4152"/>
    <w:multiLevelType w:val="hybridMultilevel"/>
    <w:tmpl w:val="048CBE8C"/>
    <w:lvl w:ilvl="0" w:tplc="03484F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032EFD"/>
    <w:multiLevelType w:val="hybridMultilevel"/>
    <w:tmpl w:val="C03431C8"/>
    <w:lvl w:ilvl="0" w:tplc="06DEBF6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018A4"/>
    <w:multiLevelType w:val="multilevel"/>
    <w:tmpl w:val="EC981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EF6296"/>
    <w:multiLevelType w:val="hybridMultilevel"/>
    <w:tmpl w:val="C77EA492"/>
    <w:lvl w:ilvl="0" w:tplc="DBAE597C">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2930CF"/>
    <w:multiLevelType w:val="hybridMultilevel"/>
    <w:tmpl w:val="70A6333A"/>
    <w:lvl w:ilvl="0" w:tplc="22124DE2">
      <w:start w:val="90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B23A1"/>
    <w:multiLevelType w:val="multilevel"/>
    <w:tmpl w:val="03B8F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75165"/>
    <w:multiLevelType w:val="multilevel"/>
    <w:tmpl w:val="973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A1DFE"/>
    <w:multiLevelType w:val="multilevel"/>
    <w:tmpl w:val="C542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054C71"/>
    <w:multiLevelType w:val="hybridMultilevel"/>
    <w:tmpl w:val="91165E32"/>
    <w:lvl w:ilvl="0" w:tplc="F76EE1E4">
      <w:start w:val="90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1"/>
  </w:num>
  <w:num w:numId="6">
    <w:abstractNumId w:val="11"/>
  </w:num>
  <w:num w:numId="7">
    <w:abstractNumId w:val="7"/>
  </w:num>
  <w:num w:numId="8">
    <w:abstractNumId w:val="9"/>
  </w:num>
  <w:num w:numId="9">
    <w:abstractNumId w:val="4"/>
  </w:num>
  <w:num w:numId="10">
    <w:abstractNumId w:val="6"/>
  </w:num>
  <w:num w:numId="11">
    <w:abstractNumId w:val="6"/>
    <w:lvlOverride w:ilvl="0">
      <w:startOverride w:val="1"/>
    </w:lvlOverride>
  </w:num>
  <w:num w:numId="12">
    <w:abstractNumId w:val="6"/>
    <w:lvlOverride w:ilvl="0">
      <w:startOverride w:val="1"/>
    </w:lvlOverride>
  </w:num>
  <w:num w:numId="13">
    <w:abstractNumId w:val="3"/>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2F3"/>
    <w:rsid w:val="00000AF0"/>
    <w:rsid w:val="00005AC6"/>
    <w:rsid w:val="000106ED"/>
    <w:rsid w:val="000113BE"/>
    <w:rsid w:val="00015F93"/>
    <w:rsid w:val="0001629F"/>
    <w:rsid w:val="000174C7"/>
    <w:rsid w:val="000221E7"/>
    <w:rsid w:val="00023984"/>
    <w:rsid w:val="00024E84"/>
    <w:rsid w:val="00025D0D"/>
    <w:rsid w:val="00025E0F"/>
    <w:rsid w:val="00026E06"/>
    <w:rsid w:val="00033C67"/>
    <w:rsid w:val="00036928"/>
    <w:rsid w:val="00036D31"/>
    <w:rsid w:val="00037AE3"/>
    <w:rsid w:val="000402E3"/>
    <w:rsid w:val="0004299D"/>
    <w:rsid w:val="00043C43"/>
    <w:rsid w:val="00047D23"/>
    <w:rsid w:val="000509F0"/>
    <w:rsid w:val="0005159D"/>
    <w:rsid w:val="0006063E"/>
    <w:rsid w:val="00060C4F"/>
    <w:rsid w:val="00064DA5"/>
    <w:rsid w:val="00071B37"/>
    <w:rsid w:val="00074645"/>
    <w:rsid w:val="00082D60"/>
    <w:rsid w:val="000831EE"/>
    <w:rsid w:val="000844E8"/>
    <w:rsid w:val="00084EFE"/>
    <w:rsid w:val="00086D7C"/>
    <w:rsid w:val="000A34F7"/>
    <w:rsid w:val="000A366E"/>
    <w:rsid w:val="000A480B"/>
    <w:rsid w:val="000A72AE"/>
    <w:rsid w:val="000B06EA"/>
    <w:rsid w:val="000B1C29"/>
    <w:rsid w:val="000B38FD"/>
    <w:rsid w:val="000C0EA1"/>
    <w:rsid w:val="000C1A9E"/>
    <w:rsid w:val="000C3070"/>
    <w:rsid w:val="000C43BB"/>
    <w:rsid w:val="000C54EA"/>
    <w:rsid w:val="000C6432"/>
    <w:rsid w:val="000C692C"/>
    <w:rsid w:val="000C793F"/>
    <w:rsid w:val="000D0033"/>
    <w:rsid w:val="000D12CE"/>
    <w:rsid w:val="000D32BC"/>
    <w:rsid w:val="000D350C"/>
    <w:rsid w:val="000D7CEE"/>
    <w:rsid w:val="000E0209"/>
    <w:rsid w:val="000E0B7A"/>
    <w:rsid w:val="000E1B37"/>
    <w:rsid w:val="000E2D2F"/>
    <w:rsid w:val="000E463C"/>
    <w:rsid w:val="000E4BEC"/>
    <w:rsid w:val="000F05A9"/>
    <w:rsid w:val="000F146F"/>
    <w:rsid w:val="000F2F0D"/>
    <w:rsid w:val="000F34BE"/>
    <w:rsid w:val="000F3873"/>
    <w:rsid w:val="000F50C2"/>
    <w:rsid w:val="00102641"/>
    <w:rsid w:val="001028CC"/>
    <w:rsid w:val="00110710"/>
    <w:rsid w:val="0011599A"/>
    <w:rsid w:val="00116ECA"/>
    <w:rsid w:val="00124E00"/>
    <w:rsid w:val="00130930"/>
    <w:rsid w:val="001358BC"/>
    <w:rsid w:val="0013622A"/>
    <w:rsid w:val="001375DF"/>
    <w:rsid w:val="001409D0"/>
    <w:rsid w:val="00140F65"/>
    <w:rsid w:val="00141232"/>
    <w:rsid w:val="001412F3"/>
    <w:rsid w:val="00146398"/>
    <w:rsid w:val="00154A85"/>
    <w:rsid w:val="0015540A"/>
    <w:rsid w:val="00157967"/>
    <w:rsid w:val="0016285D"/>
    <w:rsid w:val="00166115"/>
    <w:rsid w:val="00167416"/>
    <w:rsid w:val="0016799D"/>
    <w:rsid w:val="00170F97"/>
    <w:rsid w:val="00171F40"/>
    <w:rsid w:val="0017396F"/>
    <w:rsid w:val="00173F85"/>
    <w:rsid w:val="0017762F"/>
    <w:rsid w:val="00177B16"/>
    <w:rsid w:val="0018715C"/>
    <w:rsid w:val="0019108E"/>
    <w:rsid w:val="0019201D"/>
    <w:rsid w:val="0019726C"/>
    <w:rsid w:val="001972B8"/>
    <w:rsid w:val="001A50B6"/>
    <w:rsid w:val="001A65DB"/>
    <w:rsid w:val="001B74C8"/>
    <w:rsid w:val="001C0A8C"/>
    <w:rsid w:val="001C0E0C"/>
    <w:rsid w:val="001C5290"/>
    <w:rsid w:val="001C66A0"/>
    <w:rsid w:val="001D2DE1"/>
    <w:rsid w:val="001D43AD"/>
    <w:rsid w:val="001D7B4F"/>
    <w:rsid w:val="001E0C95"/>
    <w:rsid w:val="001E1A7F"/>
    <w:rsid w:val="001E2915"/>
    <w:rsid w:val="001E2B42"/>
    <w:rsid w:val="001E328B"/>
    <w:rsid w:val="001E445F"/>
    <w:rsid w:val="001E5656"/>
    <w:rsid w:val="001F5768"/>
    <w:rsid w:val="001F5D63"/>
    <w:rsid w:val="001F6768"/>
    <w:rsid w:val="001F6F32"/>
    <w:rsid w:val="0020045A"/>
    <w:rsid w:val="002014D8"/>
    <w:rsid w:val="00201683"/>
    <w:rsid w:val="002034C8"/>
    <w:rsid w:val="00203ADA"/>
    <w:rsid w:val="00204B78"/>
    <w:rsid w:val="00206E6F"/>
    <w:rsid w:val="00210BC4"/>
    <w:rsid w:val="00212951"/>
    <w:rsid w:val="0021303D"/>
    <w:rsid w:val="00214F9E"/>
    <w:rsid w:val="00217E8B"/>
    <w:rsid w:val="00220151"/>
    <w:rsid w:val="002207F9"/>
    <w:rsid w:val="002216F9"/>
    <w:rsid w:val="00222F4A"/>
    <w:rsid w:val="00223041"/>
    <w:rsid w:val="00223F75"/>
    <w:rsid w:val="00234E4D"/>
    <w:rsid w:val="00236D9B"/>
    <w:rsid w:val="00242031"/>
    <w:rsid w:val="0024439B"/>
    <w:rsid w:val="00244432"/>
    <w:rsid w:val="00245747"/>
    <w:rsid w:val="0024580B"/>
    <w:rsid w:val="00246567"/>
    <w:rsid w:val="00247D67"/>
    <w:rsid w:val="002521CC"/>
    <w:rsid w:val="002522C2"/>
    <w:rsid w:val="00252882"/>
    <w:rsid w:val="00252F9F"/>
    <w:rsid w:val="00254518"/>
    <w:rsid w:val="00264194"/>
    <w:rsid w:val="00264B3A"/>
    <w:rsid w:val="00264C97"/>
    <w:rsid w:val="00267848"/>
    <w:rsid w:val="00267C11"/>
    <w:rsid w:val="0027094A"/>
    <w:rsid w:val="0027361E"/>
    <w:rsid w:val="00276DEC"/>
    <w:rsid w:val="0028031D"/>
    <w:rsid w:val="002807D7"/>
    <w:rsid w:val="00281A4B"/>
    <w:rsid w:val="00281C4B"/>
    <w:rsid w:val="0028239D"/>
    <w:rsid w:val="00282A77"/>
    <w:rsid w:val="002845F1"/>
    <w:rsid w:val="00290E74"/>
    <w:rsid w:val="00291547"/>
    <w:rsid w:val="002926F0"/>
    <w:rsid w:val="00294129"/>
    <w:rsid w:val="00294B98"/>
    <w:rsid w:val="00294BFD"/>
    <w:rsid w:val="00295B6D"/>
    <w:rsid w:val="00297081"/>
    <w:rsid w:val="00297F04"/>
    <w:rsid w:val="002A055F"/>
    <w:rsid w:val="002A065A"/>
    <w:rsid w:val="002A22C2"/>
    <w:rsid w:val="002A4AED"/>
    <w:rsid w:val="002A4E0D"/>
    <w:rsid w:val="002A5A57"/>
    <w:rsid w:val="002A72F9"/>
    <w:rsid w:val="002B0BEA"/>
    <w:rsid w:val="002B1CF7"/>
    <w:rsid w:val="002B3FA0"/>
    <w:rsid w:val="002B7F6F"/>
    <w:rsid w:val="002C683A"/>
    <w:rsid w:val="002C720C"/>
    <w:rsid w:val="002D3987"/>
    <w:rsid w:val="002D43AB"/>
    <w:rsid w:val="002D6AB0"/>
    <w:rsid w:val="002D7B4C"/>
    <w:rsid w:val="002E22B1"/>
    <w:rsid w:val="002E7027"/>
    <w:rsid w:val="002E7DB1"/>
    <w:rsid w:val="002F139B"/>
    <w:rsid w:val="002F404C"/>
    <w:rsid w:val="003007C7"/>
    <w:rsid w:val="00302D5A"/>
    <w:rsid w:val="003032D9"/>
    <w:rsid w:val="00303724"/>
    <w:rsid w:val="00304BD5"/>
    <w:rsid w:val="003152ED"/>
    <w:rsid w:val="0031535B"/>
    <w:rsid w:val="00320FCF"/>
    <w:rsid w:val="00322251"/>
    <w:rsid w:val="00325C63"/>
    <w:rsid w:val="0033063F"/>
    <w:rsid w:val="0033336F"/>
    <w:rsid w:val="003342CD"/>
    <w:rsid w:val="003377D2"/>
    <w:rsid w:val="00340217"/>
    <w:rsid w:val="00340ABA"/>
    <w:rsid w:val="00344006"/>
    <w:rsid w:val="00344667"/>
    <w:rsid w:val="00345550"/>
    <w:rsid w:val="00346EA9"/>
    <w:rsid w:val="00350875"/>
    <w:rsid w:val="003518E2"/>
    <w:rsid w:val="00356C84"/>
    <w:rsid w:val="00357E84"/>
    <w:rsid w:val="003606C4"/>
    <w:rsid w:val="003612DA"/>
    <w:rsid w:val="0036165B"/>
    <w:rsid w:val="00365993"/>
    <w:rsid w:val="003666E5"/>
    <w:rsid w:val="0037006B"/>
    <w:rsid w:val="0037250A"/>
    <w:rsid w:val="00377363"/>
    <w:rsid w:val="003808F9"/>
    <w:rsid w:val="0038369F"/>
    <w:rsid w:val="0038527D"/>
    <w:rsid w:val="00386F0B"/>
    <w:rsid w:val="003879AF"/>
    <w:rsid w:val="003879F0"/>
    <w:rsid w:val="0039215D"/>
    <w:rsid w:val="00393A06"/>
    <w:rsid w:val="003A02CF"/>
    <w:rsid w:val="003A0A14"/>
    <w:rsid w:val="003A12AE"/>
    <w:rsid w:val="003A4414"/>
    <w:rsid w:val="003A4A92"/>
    <w:rsid w:val="003A4F90"/>
    <w:rsid w:val="003A5E54"/>
    <w:rsid w:val="003B039C"/>
    <w:rsid w:val="003B4052"/>
    <w:rsid w:val="003B4BDF"/>
    <w:rsid w:val="003C1ED5"/>
    <w:rsid w:val="003C691C"/>
    <w:rsid w:val="003D4A46"/>
    <w:rsid w:val="003D6DE6"/>
    <w:rsid w:val="003D70A0"/>
    <w:rsid w:val="003D7643"/>
    <w:rsid w:val="003E0C02"/>
    <w:rsid w:val="003E24B9"/>
    <w:rsid w:val="003E5787"/>
    <w:rsid w:val="003E5AF3"/>
    <w:rsid w:val="003E7442"/>
    <w:rsid w:val="003E7A5D"/>
    <w:rsid w:val="003E7D9E"/>
    <w:rsid w:val="003F269A"/>
    <w:rsid w:val="003F31F6"/>
    <w:rsid w:val="003F585A"/>
    <w:rsid w:val="003F6BFD"/>
    <w:rsid w:val="003F6CD4"/>
    <w:rsid w:val="003F7D4C"/>
    <w:rsid w:val="003F7E5F"/>
    <w:rsid w:val="004000AE"/>
    <w:rsid w:val="004016C4"/>
    <w:rsid w:val="004033E9"/>
    <w:rsid w:val="004036CB"/>
    <w:rsid w:val="00406AD1"/>
    <w:rsid w:val="00414440"/>
    <w:rsid w:val="00415C25"/>
    <w:rsid w:val="00415D94"/>
    <w:rsid w:val="00416377"/>
    <w:rsid w:val="0041673B"/>
    <w:rsid w:val="00416EB8"/>
    <w:rsid w:val="004227E1"/>
    <w:rsid w:val="00423F26"/>
    <w:rsid w:val="0042536F"/>
    <w:rsid w:val="00430E87"/>
    <w:rsid w:val="0043249C"/>
    <w:rsid w:val="004333D8"/>
    <w:rsid w:val="00433704"/>
    <w:rsid w:val="004348BA"/>
    <w:rsid w:val="0043504E"/>
    <w:rsid w:val="0043794E"/>
    <w:rsid w:val="00437FBA"/>
    <w:rsid w:val="00452D46"/>
    <w:rsid w:val="00457060"/>
    <w:rsid w:val="00460FE0"/>
    <w:rsid w:val="00461F81"/>
    <w:rsid w:val="00462AF6"/>
    <w:rsid w:val="00463A0E"/>
    <w:rsid w:val="00465B2A"/>
    <w:rsid w:val="00466673"/>
    <w:rsid w:val="00475EB0"/>
    <w:rsid w:val="004836B8"/>
    <w:rsid w:val="004841FB"/>
    <w:rsid w:val="004852D5"/>
    <w:rsid w:val="00486337"/>
    <w:rsid w:val="00491CF4"/>
    <w:rsid w:val="0049334D"/>
    <w:rsid w:val="00494138"/>
    <w:rsid w:val="0049536D"/>
    <w:rsid w:val="004A2B8A"/>
    <w:rsid w:val="004A3404"/>
    <w:rsid w:val="004A42AD"/>
    <w:rsid w:val="004B4011"/>
    <w:rsid w:val="004C0CCE"/>
    <w:rsid w:val="004C27BF"/>
    <w:rsid w:val="004C44C7"/>
    <w:rsid w:val="004C5124"/>
    <w:rsid w:val="004D6AA0"/>
    <w:rsid w:val="004D6FE1"/>
    <w:rsid w:val="004E1D06"/>
    <w:rsid w:val="004E3D9D"/>
    <w:rsid w:val="004E4679"/>
    <w:rsid w:val="004E4C2A"/>
    <w:rsid w:val="004E528F"/>
    <w:rsid w:val="004E57CE"/>
    <w:rsid w:val="004F106B"/>
    <w:rsid w:val="004F40A5"/>
    <w:rsid w:val="004F48A5"/>
    <w:rsid w:val="004F5C69"/>
    <w:rsid w:val="004F6794"/>
    <w:rsid w:val="004F70DC"/>
    <w:rsid w:val="004F76A7"/>
    <w:rsid w:val="005040DD"/>
    <w:rsid w:val="00504928"/>
    <w:rsid w:val="00506375"/>
    <w:rsid w:val="00507783"/>
    <w:rsid w:val="00510C63"/>
    <w:rsid w:val="005110D3"/>
    <w:rsid w:val="00511213"/>
    <w:rsid w:val="00512E46"/>
    <w:rsid w:val="005136DC"/>
    <w:rsid w:val="005163E8"/>
    <w:rsid w:val="00522702"/>
    <w:rsid w:val="00526902"/>
    <w:rsid w:val="005270F1"/>
    <w:rsid w:val="00527159"/>
    <w:rsid w:val="00533825"/>
    <w:rsid w:val="00537664"/>
    <w:rsid w:val="00540385"/>
    <w:rsid w:val="0055036B"/>
    <w:rsid w:val="00550877"/>
    <w:rsid w:val="005564E8"/>
    <w:rsid w:val="005567E6"/>
    <w:rsid w:val="00562591"/>
    <w:rsid w:val="0056264B"/>
    <w:rsid w:val="00566C3B"/>
    <w:rsid w:val="005678BD"/>
    <w:rsid w:val="0057011D"/>
    <w:rsid w:val="00573EEE"/>
    <w:rsid w:val="00576A6C"/>
    <w:rsid w:val="00576AFE"/>
    <w:rsid w:val="00583726"/>
    <w:rsid w:val="00584DC7"/>
    <w:rsid w:val="00585E5E"/>
    <w:rsid w:val="0058781C"/>
    <w:rsid w:val="00587E18"/>
    <w:rsid w:val="005905E8"/>
    <w:rsid w:val="005927B9"/>
    <w:rsid w:val="0059555E"/>
    <w:rsid w:val="005964C8"/>
    <w:rsid w:val="0059727A"/>
    <w:rsid w:val="005A307B"/>
    <w:rsid w:val="005A373B"/>
    <w:rsid w:val="005A3956"/>
    <w:rsid w:val="005A43DA"/>
    <w:rsid w:val="005A5384"/>
    <w:rsid w:val="005B288F"/>
    <w:rsid w:val="005B45A6"/>
    <w:rsid w:val="005C060A"/>
    <w:rsid w:val="005C1950"/>
    <w:rsid w:val="005C21F8"/>
    <w:rsid w:val="005C5CDC"/>
    <w:rsid w:val="005C616B"/>
    <w:rsid w:val="005C69B4"/>
    <w:rsid w:val="005D5A34"/>
    <w:rsid w:val="005E2DDF"/>
    <w:rsid w:val="005E3954"/>
    <w:rsid w:val="005F219D"/>
    <w:rsid w:val="005F417E"/>
    <w:rsid w:val="005F523D"/>
    <w:rsid w:val="00601E14"/>
    <w:rsid w:val="00602E8F"/>
    <w:rsid w:val="006038C8"/>
    <w:rsid w:val="00604FAB"/>
    <w:rsid w:val="00605E5D"/>
    <w:rsid w:val="006141F6"/>
    <w:rsid w:val="00615575"/>
    <w:rsid w:val="00617854"/>
    <w:rsid w:val="006225F0"/>
    <w:rsid w:val="006233D5"/>
    <w:rsid w:val="00623E77"/>
    <w:rsid w:val="00623FDF"/>
    <w:rsid w:val="00624285"/>
    <w:rsid w:val="00625D0F"/>
    <w:rsid w:val="00626CD9"/>
    <w:rsid w:val="00631ADE"/>
    <w:rsid w:val="00636984"/>
    <w:rsid w:val="00636D95"/>
    <w:rsid w:val="00642714"/>
    <w:rsid w:val="00642BA2"/>
    <w:rsid w:val="00643323"/>
    <w:rsid w:val="006433D4"/>
    <w:rsid w:val="00645B1C"/>
    <w:rsid w:val="006460BF"/>
    <w:rsid w:val="00651881"/>
    <w:rsid w:val="00655B14"/>
    <w:rsid w:val="00657A52"/>
    <w:rsid w:val="00664BB6"/>
    <w:rsid w:val="00664F8A"/>
    <w:rsid w:val="00666C19"/>
    <w:rsid w:val="006738A6"/>
    <w:rsid w:val="006744F9"/>
    <w:rsid w:val="006745FD"/>
    <w:rsid w:val="006747CE"/>
    <w:rsid w:val="006750F0"/>
    <w:rsid w:val="00681534"/>
    <w:rsid w:val="00681B31"/>
    <w:rsid w:val="00682C27"/>
    <w:rsid w:val="0068303C"/>
    <w:rsid w:val="00683647"/>
    <w:rsid w:val="00683D60"/>
    <w:rsid w:val="006849D1"/>
    <w:rsid w:val="00686903"/>
    <w:rsid w:val="00687529"/>
    <w:rsid w:val="0069495B"/>
    <w:rsid w:val="006959C4"/>
    <w:rsid w:val="006A3D7F"/>
    <w:rsid w:val="006A49FF"/>
    <w:rsid w:val="006A7811"/>
    <w:rsid w:val="006B238B"/>
    <w:rsid w:val="006B40D0"/>
    <w:rsid w:val="006B441B"/>
    <w:rsid w:val="006B6F20"/>
    <w:rsid w:val="006B6F25"/>
    <w:rsid w:val="006C0AE1"/>
    <w:rsid w:val="006C45BA"/>
    <w:rsid w:val="006C5569"/>
    <w:rsid w:val="006C605B"/>
    <w:rsid w:val="006C7A5D"/>
    <w:rsid w:val="006D04A2"/>
    <w:rsid w:val="006D145A"/>
    <w:rsid w:val="006D2B0C"/>
    <w:rsid w:val="006D2FF7"/>
    <w:rsid w:val="006D7850"/>
    <w:rsid w:val="006D7F5F"/>
    <w:rsid w:val="006E10F3"/>
    <w:rsid w:val="006E3076"/>
    <w:rsid w:val="006E5377"/>
    <w:rsid w:val="006E6E39"/>
    <w:rsid w:val="006E7733"/>
    <w:rsid w:val="006E7C4A"/>
    <w:rsid w:val="006F2757"/>
    <w:rsid w:val="006F3E95"/>
    <w:rsid w:val="006F49CD"/>
    <w:rsid w:val="006F5C60"/>
    <w:rsid w:val="006F600F"/>
    <w:rsid w:val="00700C57"/>
    <w:rsid w:val="007031E4"/>
    <w:rsid w:val="0070732A"/>
    <w:rsid w:val="0070735B"/>
    <w:rsid w:val="00712051"/>
    <w:rsid w:val="0071567C"/>
    <w:rsid w:val="007166FB"/>
    <w:rsid w:val="007210A0"/>
    <w:rsid w:val="00726C97"/>
    <w:rsid w:val="0073036F"/>
    <w:rsid w:val="00731A22"/>
    <w:rsid w:val="00733835"/>
    <w:rsid w:val="00743FF6"/>
    <w:rsid w:val="007535B1"/>
    <w:rsid w:val="007609F5"/>
    <w:rsid w:val="007613FF"/>
    <w:rsid w:val="00763B9B"/>
    <w:rsid w:val="00764008"/>
    <w:rsid w:val="00765D9F"/>
    <w:rsid w:val="0077232A"/>
    <w:rsid w:val="00772978"/>
    <w:rsid w:val="00774743"/>
    <w:rsid w:val="00780413"/>
    <w:rsid w:val="00786E35"/>
    <w:rsid w:val="00790FAF"/>
    <w:rsid w:val="00791BCD"/>
    <w:rsid w:val="00793372"/>
    <w:rsid w:val="007A18FC"/>
    <w:rsid w:val="007A5A4D"/>
    <w:rsid w:val="007A6061"/>
    <w:rsid w:val="007A6C70"/>
    <w:rsid w:val="007A6D84"/>
    <w:rsid w:val="007A78B0"/>
    <w:rsid w:val="007B0FD8"/>
    <w:rsid w:val="007B29B7"/>
    <w:rsid w:val="007B435C"/>
    <w:rsid w:val="007B698B"/>
    <w:rsid w:val="007B76D8"/>
    <w:rsid w:val="007B79E9"/>
    <w:rsid w:val="007B7C65"/>
    <w:rsid w:val="007C1DEA"/>
    <w:rsid w:val="007C2AE7"/>
    <w:rsid w:val="007C484C"/>
    <w:rsid w:val="007C587B"/>
    <w:rsid w:val="007C58A6"/>
    <w:rsid w:val="007D35EE"/>
    <w:rsid w:val="007D39DC"/>
    <w:rsid w:val="007D440E"/>
    <w:rsid w:val="007D6DCB"/>
    <w:rsid w:val="007E7F1E"/>
    <w:rsid w:val="007F2313"/>
    <w:rsid w:val="007F3A78"/>
    <w:rsid w:val="007F61F9"/>
    <w:rsid w:val="007F6566"/>
    <w:rsid w:val="00802E2A"/>
    <w:rsid w:val="008044F0"/>
    <w:rsid w:val="00804E12"/>
    <w:rsid w:val="00806C5A"/>
    <w:rsid w:val="0080794A"/>
    <w:rsid w:val="00814644"/>
    <w:rsid w:val="0081572B"/>
    <w:rsid w:val="00817BF1"/>
    <w:rsid w:val="008229BA"/>
    <w:rsid w:val="008246B2"/>
    <w:rsid w:val="008302B3"/>
    <w:rsid w:val="00830E3E"/>
    <w:rsid w:val="008322B9"/>
    <w:rsid w:val="0083356F"/>
    <w:rsid w:val="008349A7"/>
    <w:rsid w:val="00835332"/>
    <w:rsid w:val="00842457"/>
    <w:rsid w:val="0084508B"/>
    <w:rsid w:val="00845172"/>
    <w:rsid w:val="008543BB"/>
    <w:rsid w:val="00857E54"/>
    <w:rsid w:val="00860D6D"/>
    <w:rsid w:val="00863413"/>
    <w:rsid w:val="0086488A"/>
    <w:rsid w:val="00864C64"/>
    <w:rsid w:val="0086683F"/>
    <w:rsid w:val="0087103D"/>
    <w:rsid w:val="0087250F"/>
    <w:rsid w:val="00873340"/>
    <w:rsid w:val="00873C9F"/>
    <w:rsid w:val="00877BBF"/>
    <w:rsid w:val="00877BCF"/>
    <w:rsid w:val="00881CF0"/>
    <w:rsid w:val="00887D8C"/>
    <w:rsid w:val="00896589"/>
    <w:rsid w:val="008A058C"/>
    <w:rsid w:val="008A479B"/>
    <w:rsid w:val="008A5EFF"/>
    <w:rsid w:val="008A6752"/>
    <w:rsid w:val="008B119D"/>
    <w:rsid w:val="008B1EDC"/>
    <w:rsid w:val="008B220F"/>
    <w:rsid w:val="008B3BF8"/>
    <w:rsid w:val="008C0C2D"/>
    <w:rsid w:val="008C3D12"/>
    <w:rsid w:val="008C65FA"/>
    <w:rsid w:val="008D1847"/>
    <w:rsid w:val="008D4713"/>
    <w:rsid w:val="008D60B1"/>
    <w:rsid w:val="008D7FE7"/>
    <w:rsid w:val="008E042B"/>
    <w:rsid w:val="008E128C"/>
    <w:rsid w:val="008E14AB"/>
    <w:rsid w:val="008E254E"/>
    <w:rsid w:val="008E5200"/>
    <w:rsid w:val="008E5272"/>
    <w:rsid w:val="008E601A"/>
    <w:rsid w:val="008E7459"/>
    <w:rsid w:val="008F1B3E"/>
    <w:rsid w:val="008F20B2"/>
    <w:rsid w:val="008F3D25"/>
    <w:rsid w:val="008F4BEE"/>
    <w:rsid w:val="008F630A"/>
    <w:rsid w:val="008F65C8"/>
    <w:rsid w:val="0090396C"/>
    <w:rsid w:val="00906030"/>
    <w:rsid w:val="00910548"/>
    <w:rsid w:val="0091410E"/>
    <w:rsid w:val="0091460F"/>
    <w:rsid w:val="009168F3"/>
    <w:rsid w:val="00917DB1"/>
    <w:rsid w:val="009207C0"/>
    <w:rsid w:val="00921EBC"/>
    <w:rsid w:val="009220D2"/>
    <w:rsid w:val="0092481B"/>
    <w:rsid w:val="0092489D"/>
    <w:rsid w:val="009303A5"/>
    <w:rsid w:val="0093442F"/>
    <w:rsid w:val="00935724"/>
    <w:rsid w:val="00940AA6"/>
    <w:rsid w:val="00941AD1"/>
    <w:rsid w:val="009456DE"/>
    <w:rsid w:val="009506E6"/>
    <w:rsid w:val="009525D1"/>
    <w:rsid w:val="00953189"/>
    <w:rsid w:val="009550C7"/>
    <w:rsid w:val="00956176"/>
    <w:rsid w:val="009627FC"/>
    <w:rsid w:val="00971598"/>
    <w:rsid w:val="00971DF4"/>
    <w:rsid w:val="00971F25"/>
    <w:rsid w:val="0097363D"/>
    <w:rsid w:val="00976A9E"/>
    <w:rsid w:val="00983675"/>
    <w:rsid w:val="009846FA"/>
    <w:rsid w:val="009868A4"/>
    <w:rsid w:val="009906AB"/>
    <w:rsid w:val="009938BD"/>
    <w:rsid w:val="00994A50"/>
    <w:rsid w:val="00995A8E"/>
    <w:rsid w:val="009977F3"/>
    <w:rsid w:val="00997FB9"/>
    <w:rsid w:val="009A060D"/>
    <w:rsid w:val="009A1D95"/>
    <w:rsid w:val="009A350F"/>
    <w:rsid w:val="009A6645"/>
    <w:rsid w:val="009A7DCB"/>
    <w:rsid w:val="009B1E14"/>
    <w:rsid w:val="009B72EC"/>
    <w:rsid w:val="009B736D"/>
    <w:rsid w:val="009B7479"/>
    <w:rsid w:val="009B7A3C"/>
    <w:rsid w:val="009C160E"/>
    <w:rsid w:val="009C1A10"/>
    <w:rsid w:val="009C4A1A"/>
    <w:rsid w:val="009D0A2E"/>
    <w:rsid w:val="009D4773"/>
    <w:rsid w:val="009D6ADC"/>
    <w:rsid w:val="009D7AD5"/>
    <w:rsid w:val="009E1D61"/>
    <w:rsid w:val="009E257E"/>
    <w:rsid w:val="009E2733"/>
    <w:rsid w:val="009E28EC"/>
    <w:rsid w:val="009E491D"/>
    <w:rsid w:val="009E4D3A"/>
    <w:rsid w:val="009E5887"/>
    <w:rsid w:val="009E6679"/>
    <w:rsid w:val="009E7807"/>
    <w:rsid w:val="009F09CF"/>
    <w:rsid w:val="009F14A6"/>
    <w:rsid w:val="009F5C34"/>
    <w:rsid w:val="009F61D7"/>
    <w:rsid w:val="009F6A9B"/>
    <w:rsid w:val="009F6CED"/>
    <w:rsid w:val="00A0097D"/>
    <w:rsid w:val="00A010E7"/>
    <w:rsid w:val="00A03120"/>
    <w:rsid w:val="00A042B4"/>
    <w:rsid w:val="00A047AA"/>
    <w:rsid w:val="00A0612A"/>
    <w:rsid w:val="00A06EF5"/>
    <w:rsid w:val="00A074DA"/>
    <w:rsid w:val="00A17FAC"/>
    <w:rsid w:val="00A20055"/>
    <w:rsid w:val="00A2137E"/>
    <w:rsid w:val="00A22D23"/>
    <w:rsid w:val="00A24E0A"/>
    <w:rsid w:val="00A26408"/>
    <w:rsid w:val="00A30ABD"/>
    <w:rsid w:val="00A40881"/>
    <w:rsid w:val="00A432A0"/>
    <w:rsid w:val="00A449F3"/>
    <w:rsid w:val="00A44CE2"/>
    <w:rsid w:val="00A53B62"/>
    <w:rsid w:val="00A572C5"/>
    <w:rsid w:val="00A6028F"/>
    <w:rsid w:val="00A6323E"/>
    <w:rsid w:val="00A64CC1"/>
    <w:rsid w:val="00A6774E"/>
    <w:rsid w:val="00A716A1"/>
    <w:rsid w:val="00A7232C"/>
    <w:rsid w:val="00A73C63"/>
    <w:rsid w:val="00A745E2"/>
    <w:rsid w:val="00A75929"/>
    <w:rsid w:val="00A91860"/>
    <w:rsid w:val="00A97C73"/>
    <w:rsid w:val="00AA61FF"/>
    <w:rsid w:val="00AA66C4"/>
    <w:rsid w:val="00AB064C"/>
    <w:rsid w:val="00AB32FD"/>
    <w:rsid w:val="00AB7540"/>
    <w:rsid w:val="00AC11B4"/>
    <w:rsid w:val="00AC23C5"/>
    <w:rsid w:val="00AC4834"/>
    <w:rsid w:val="00AC6E79"/>
    <w:rsid w:val="00AD252D"/>
    <w:rsid w:val="00AD7BC0"/>
    <w:rsid w:val="00AE0632"/>
    <w:rsid w:val="00AE1195"/>
    <w:rsid w:val="00AE46AB"/>
    <w:rsid w:val="00AE5CA3"/>
    <w:rsid w:val="00AE6DFF"/>
    <w:rsid w:val="00AE6FD3"/>
    <w:rsid w:val="00AE7948"/>
    <w:rsid w:val="00AE7B5F"/>
    <w:rsid w:val="00AF5059"/>
    <w:rsid w:val="00AF6B79"/>
    <w:rsid w:val="00AF74CB"/>
    <w:rsid w:val="00B0301E"/>
    <w:rsid w:val="00B038A2"/>
    <w:rsid w:val="00B05357"/>
    <w:rsid w:val="00B05453"/>
    <w:rsid w:val="00B05C17"/>
    <w:rsid w:val="00B11B21"/>
    <w:rsid w:val="00B127B0"/>
    <w:rsid w:val="00B146E4"/>
    <w:rsid w:val="00B14C6D"/>
    <w:rsid w:val="00B15511"/>
    <w:rsid w:val="00B20026"/>
    <w:rsid w:val="00B2374C"/>
    <w:rsid w:val="00B26C20"/>
    <w:rsid w:val="00B30613"/>
    <w:rsid w:val="00B317A5"/>
    <w:rsid w:val="00B317D9"/>
    <w:rsid w:val="00B31FCD"/>
    <w:rsid w:val="00B36DBA"/>
    <w:rsid w:val="00B50240"/>
    <w:rsid w:val="00B50736"/>
    <w:rsid w:val="00B5216D"/>
    <w:rsid w:val="00B561A4"/>
    <w:rsid w:val="00B5673D"/>
    <w:rsid w:val="00B6251F"/>
    <w:rsid w:val="00B63E69"/>
    <w:rsid w:val="00B64B8B"/>
    <w:rsid w:val="00B66B66"/>
    <w:rsid w:val="00B70503"/>
    <w:rsid w:val="00B70F3B"/>
    <w:rsid w:val="00B71BC7"/>
    <w:rsid w:val="00B814F7"/>
    <w:rsid w:val="00B81663"/>
    <w:rsid w:val="00B82E5A"/>
    <w:rsid w:val="00B8532C"/>
    <w:rsid w:val="00B86114"/>
    <w:rsid w:val="00B91311"/>
    <w:rsid w:val="00B9134D"/>
    <w:rsid w:val="00B927BC"/>
    <w:rsid w:val="00B934B8"/>
    <w:rsid w:val="00B94C43"/>
    <w:rsid w:val="00B974D1"/>
    <w:rsid w:val="00BA09AF"/>
    <w:rsid w:val="00BA2922"/>
    <w:rsid w:val="00BA6074"/>
    <w:rsid w:val="00BB1372"/>
    <w:rsid w:val="00BB7693"/>
    <w:rsid w:val="00BB7D75"/>
    <w:rsid w:val="00BC04D0"/>
    <w:rsid w:val="00BC1924"/>
    <w:rsid w:val="00BC1BBF"/>
    <w:rsid w:val="00BC2B90"/>
    <w:rsid w:val="00BC40A4"/>
    <w:rsid w:val="00BC4BF9"/>
    <w:rsid w:val="00BC553E"/>
    <w:rsid w:val="00BD2EEE"/>
    <w:rsid w:val="00BE0077"/>
    <w:rsid w:val="00BE17E9"/>
    <w:rsid w:val="00BE5B64"/>
    <w:rsid w:val="00BE6BD8"/>
    <w:rsid w:val="00BF139B"/>
    <w:rsid w:val="00BF4E2D"/>
    <w:rsid w:val="00BF531B"/>
    <w:rsid w:val="00BF59E7"/>
    <w:rsid w:val="00BF6D4B"/>
    <w:rsid w:val="00C00F68"/>
    <w:rsid w:val="00C064DC"/>
    <w:rsid w:val="00C14CBE"/>
    <w:rsid w:val="00C176CF"/>
    <w:rsid w:val="00C202E2"/>
    <w:rsid w:val="00C209E8"/>
    <w:rsid w:val="00C23799"/>
    <w:rsid w:val="00C23CD3"/>
    <w:rsid w:val="00C25BEB"/>
    <w:rsid w:val="00C273AA"/>
    <w:rsid w:val="00C319BF"/>
    <w:rsid w:val="00C32F72"/>
    <w:rsid w:val="00C338C4"/>
    <w:rsid w:val="00C4219F"/>
    <w:rsid w:val="00C42619"/>
    <w:rsid w:val="00C43978"/>
    <w:rsid w:val="00C45784"/>
    <w:rsid w:val="00C54854"/>
    <w:rsid w:val="00C563A7"/>
    <w:rsid w:val="00C61B3D"/>
    <w:rsid w:val="00C620E6"/>
    <w:rsid w:val="00C652E3"/>
    <w:rsid w:val="00C67EFC"/>
    <w:rsid w:val="00C737A1"/>
    <w:rsid w:val="00C75F71"/>
    <w:rsid w:val="00C86161"/>
    <w:rsid w:val="00C87D8B"/>
    <w:rsid w:val="00C91D61"/>
    <w:rsid w:val="00C92C53"/>
    <w:rsid w:val="00C941D3"/>
    <w:rsid w:val="00C9774D"/>
    <w:rsid w:val="00CA11D3"/>
    <w:rsid w:val="00CA3E6D"/>
    <w:rsid w:val="00CA454C"/>
    <w:rsid w:val="00CA4BE9"/>
    <w:rsid w:val="00CA5798"/>
    <w:rsid w:val="00CA6BE8"/>
    <w:rsid w:val="00CA7E23"/>
    <w:rsid w:val="00CB2EA2"/>
    <w:rsid w:val="00CB31C2"/>
    <w:rsid w:val="00CB666E"/>
    <w:rsid w:val="00CB6973"/>
    <w:rsid w:val="00CC00DC"/>
    <w:rsid w:val="00CC0C59"/>
    <w:rsid w:val="00CC0FA3"/>
    <w:rsid w:val="00CC3F92"/>
    <w:rsid w:val="00CC4304"/>
    <w:rsid w:val="00CD27DE"/>
    <w:rsid w:val="00CD6C75"/>
    <w:rsid w:val="00CD7FEF"/>
    <w:rsid w:val="00CE0A57"/>
    <w:rsid w:val="00CE18BE"/>
    <w:rsid w:val="00CE5F41"/>
    <w:rsid w:val="00CF0125"/>
    <w:rsid w:val="00CF0154"/>
    <w:rsid w:val="00CF186F"/>
    <w:rsid w:val="00CF5218"/>
    <w:rsid w:val="00CF6D18"/>
    <w:rsid w:val="00D008E5"/>
    <w:rsid w:val="00D01E15"/>
    <w:rsid w:val="00D02A3D"/>
    <w:rsid w:val="00D076A8"/>
    <w:rsid w:val="00D13E5A"/>
    <w:rsid w:val="00D1448F"/>
    <w:rsid w:val="00D154B2"/>
    <w:rsid w:val="00D166CD"/>
    <w:rsid w:val="00D22CFF"/>
    <w:rsid w:val="00D269DC"/>
    <w:rsid w:val="00D2799B"/>
    <w:rsid w:val="00D40ED8"/>
    <w:rsid w:val="00D43ADE"/>
    <w:rsid w:val="00D465A8"/>
    <w:rsid w:val="00D46B74"/>
    <w:rsid w:val="00D5088A"/>
    <w:rsid w:val="00D50E45"/>
    <w:rsid w:val="00D522E8"/>
    <w:rsid w:val="00D54628"/>
    <w:rsid w:val="00D54C7B"/>
    <w:rsid w:val="00D6093B"/>
    <w:rsid w:val="00D611C0"/>
    <w:rsid w:val="00D61360"/>
    <w:rsid w:val="00D61DE7"/>
    <w:rsid w:val="00D6332F"/>
    <w:rsid w:val="00D63802"/>
    <w:rsid w:val="00D65287"/>
    <w:rsid w:val="00D65CF7"/>
    <w:rsid w:val="00D70BCA"/>
    <w:rsid w:val="00D84390"/>
    <w:rsid w:val="00D84D6F"/>
    <w:rsid w:val="00D8576C"/>
    <w:rsid w:val="00D85ECB"/>
    <w:rsid w:val="00D86107"/>
    <w:rsid w:val="00D86365"/>
    <w:rsid w:val="00D936AD"/>
    <w:rsid w:val="00D97C3F"/>
    <w:rsid w:val="00DA1574"/>
    <w:rsid w:val="00DA1F5E"/>
    <w:rsid w:val="00DA3184"/>
    <w:rsid w:val="00DA7C2C"/>
    <w:rsid w:val="00DB0722"/>
    <w:rsid w:val="00DB1CFC"/>
    <w:rsid w:val="00DB72F5"/>
    <w:rsid w:val="00DB7B74"/>
    <w:rsid w:val="00DC6DA7"/>
    <w:rsid w:val="00DD0CF1"/>
    <w:rsid w:val="00DD4369"/>
    <w:rsid w:val="00DD64DD"/>
    <w:rsid w:val="00DD6F59"/>
    <w:rsid w:val="00DD722C"/>
    <w:rsid w:val="00DE143C"/>
    <w:rsid w:val="00DE2239"/>
    <w:rsid w:val="00DE5934"/>
    <w:rsid w:val="00DE68DF"/>
    <w:rsid w:val="00DE6E85"/>
    <w:rsid w:val="00DF2873"/>
    <w:rsid w:val="00DF51E0"/>
    <w:rsid w:val="00E005B7"/>
    <w:rsid w:val="00E07838"/>
    <w:rsid w:val="00E10068"/>
    <w:rsid w:val="00E1137E"/>
    <w:rsid w:val="00E12575"/>
    <w:rsid w:val="00E14A86"/>
    <w:rsid w:val="00E15A5A"/>
    <w:rsid w:val="00E177D3"/>
    <w:rsid w:val="00E2172D"/>
    <w:rsid w:val="00E237CF"/>
    <w:rsid w:val="00E27A9D"/>
    <w:rsid w:val="00E310BE"/>
    <w:rsid w:val="00E3454A"/>
    <w:rsid w:val="00E34C6E"/>
    <w:rsid w:val="00E350FF"/>
    <w:rsid w:val="00E36318"/>
    <w:rsid w:val="00E365B1"/>
    <w:rsid w:val="00E43935"/>
    <w:rsid w:val="00E44344"/>
    <w:rsid w:val="00E47103"/>
    <w:rsid w:val="00E509D0"/>
    <w:rsid w:val="00E51D2A"/>
    <w:rsid w:val="00E575E4"/>
    <w:rsid w:val="00E5761D"/>
    <w:rsid w:val="00E60785"/>
    <w:rsid w:val="00E6257E"/>
    <w:rsid w:val="00E633F4"/>
    <w:rsid w:val="00E64C53"/>
    <w:rsid w:val="00E65B9C"/>
    <w:rsid w:val="00E730F2"/>
    <w:rsid w:val="00E76D3A"/>
    <w:rsid w:val="00E84E03"/>
    <w:rsid w:val="00E860C2"/>
    <w:rsid w:val="00E866E7"/>
    <w:rsid w:val="00E86D03"/>
    <w:rsid w:val="00E95215"/>
    <w:rsid w:val="00E95E69"/>
    <w:rsid w:val="00EA2BFC"/>
    <w:rsid w:val="00EA5075"/>
    <w:rsid w:val="00EA5ACE"/>
    <w:rsid w:val="00EA7CA3"/>
    <w:rsid w:val="00EB20B0"/>
    <w:rsid w:val="00EB45E8"/>
    <w:rsid w:val="00EB6A27"/>
    <w:rsid w:val="00EC2AA4"/>
    <w:rsid w:val="00EC3829"/>
    <w:rsid w:val="00ED169A"/>
    <w:rsid w:val="00ED1BCA"/>
    <w:rsid w:val="00ED25FB"/>
    <w:rsid w:val="00ED35F7"/>
    <w:rsid w:val="00ED469C"/>
    <w:rsid w:val="00ED7721"/>
    <w:rsid w:val="00ED7AFB"/>
    <w:rsid w:val="00EE2730"/>
    <w:rsid w:val="00EE3706"/>
    <w:rsid w:val="00EE5278"/>
    <w:rsid w:val="00EF0156"/>
    <w:rsid w:val="00EF1E67"/>
    <w:rsid w:val="00EF59FA"/>
    <w:rsid w:val="00EF7FFC"/>
    <w:rsid w:val="00F046AE"/>
    <w:rsid w:val="00F0494C"/>
    <w:rsid w:val="00F05A6E"/>
    <w:rsid w:val="00F060CA"/>
    <w:rsid w:val="00F10B8F"/>
    <w:rsid w:val="00F12BA3"/>
    <w:rsid w:val="00F12D6E"/>
    <w:rsid w:val="00F162D9"/>
    <w:rsid w:val="00F173EA"/>
    <w:rsid w:val="00F17FC9"/>
    <w:rsid w:val="00F23587"/>
    <w:rsid w:val="00F24133"/>
    <w:rsid w:val="00F351AF"/>
    <w:rsid w:val="00F37914"/>
    <w:rsid w:val="00F43436"/>
    <w:rsid w:val="00F458D0"/>
    <w:rsid w:val="00F45B3A"/>
    <w:rsid w:val="00F50852"/>
    <w:rsid w:val="00F5210A"/>
    <w:rsid w:val="00F522AA"/>
    <w:rsid w:val="00F5262D"/>
    <w:rsid w:val="00F52647"/>
    <w:rsid w:val="00F5345C"/>
    <w:rsid w:val="00F56F2D"/>
    <w:rsid w:val="00F6061D"/>
    <w:rsid w:val="00F62F9C"/>
    <w:rsid w:val="00F6397E"/>
    <w:rsid w:val="00F646F9"/>
    <w:rsid w:val="00F64E0A"/>
    <w:rsid w:val="00F67AD8"/>
    <w:rsid w:val="00F70097"/>
    <w:rsid w:val="00F710E5"/>
    <w:rsid w:val="00F82419"/>
    <w:rsid w:val="00F859CF"/>
    <w:rsid w:val="00F9004E"/>
    <w:rsid w:val="00F90F64"/>
    <w:rsid w:val="00F917C4"/>
    <w:rsid w:val="00F91B88"/>
    <w:rsid w:val="00F93BF6"/>
    <w:rsid w:val="00F95E28"/>
    <w:rsid w:val="00F96426"/>
    <w:rsid w:val="00F968DA"/>
    <w:rsid w:val="00FA086A"/>
    <w:rsid w:val="00FA5873"/>
    <w:rsid w:val="00FA6376"/>
    <w:rsid w:val="00FB2E2A"/>
    <w:rsid w:val="00FB4901"/>
    <w:rsid w:val="00FB63E5"/>
    <w:rsid w:val="00FC372E"/>
    <w:rsid w:val="00FC7BF5"/>
    <w:rsid w:val="00FD1AA9"/>
    <w:rsid w:val="00FD30A4"/>
    <w:rsid w:val="00FD3A9A"/>
    <w:rsid w:val="00FE1C16"/>
    <w:rsid w:val="00FE3BAA"/>
    <w:rsid w:val="00FE7DDD"/>
    <w:rsid w:val="00FF4EFF"/>
    <w:rsid w:val="00FF6247"/>
    <w:rsid w:val="00FF7801"/>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005726"/>
  <w14:defaultImageDpi w14:val="300"/>
  <w15:docId w15:val="{12BD3A44-609A-5045-9793-4F61C11B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459"/>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27A9D"/>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7A9D"/>
    <w:pPr>
      <w:keepNext/>
      <w:keepLines/>
      <w:numPr>
        <w:numId w:val="1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5D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36D"/>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D65CF7"/>
    <w:rPr>
      <w:rFonts w:ascii="Helvetica" w:hAnsi="Helvetica"/>
      <w:sz w:val="20"/>
    </w:rPr>
  </w:style>
  <w:style w:type="character" w:customStyle="1" w:styleId="FootnoteTextChar">
    <w:name w:val="Footnote Text Char"/>
    <w:basedOn w:val="DefaultParagraphFont"/>
    <w:link w:val="FootnoteText"/>
    <w:uiPriority w:val="99"/>
    <w:rsid w:val="00D65CF7"/>
    <w:rPr>
      <w:rFonts w:ascii="Helvetica" w:hAnsi="Helvetica"/>
      <w:sz w:val="20"/>
    </w:rPr>
  </w:style>
  <w:style w:type="character" w:styleId="FootnoteReference">
    <w:name w:val="footnote reference"/>
    <w:basedOn w:val="DefaultParagraphFont"/>
    <w:uiPriority w:val="99"/>
    <w:unhideWhenUsed/>
    <w:rsid w:val="009B72EC"/>
    <w:rPr>
      <w:vertAlign w:val="superscript"/>
    </w:rPr>
  </w:style>
  <w:style w:type="paragraph" w:styleId="ListParagraph">
    <w:name w:val="List Paragraph"/>
    <w:basedOn w:val="Normal"/>
    <w:uiPriority w:val="34"/>
    <w:qFormat/>
    <w:rsid w:val="00C32F72"/>
    <w:pPr>
      <w:ind w:left="720"/>
      <w:contextualSpacing/>
    </w:pPr>
  </w:style>
  <w:style w:type="character" w:customStyle="1" w:styleId="apple-converted-space">
    <w:name w:val="apple-converted-space"/>
    <w:basedOn w:val="DefaultParagraphFont"/>
    <w:rsid w:val="005136DC"/>
  </w:style>
  <w:style w:type="character" w:styleId="Emphasis">
    <w:name w:val="Emphasis"/>
    <w:basedOn w:val="DefaultParagraphFont"/>
    <w:uiPriority w:val="20"/>
    <w:qFormat/>
    <w:rsid w:val="005136DC"/>
    <w:rPr>
      <w:i/>
      <w:iCs/>
    </w:rPr>
  </w:style>
  <w:style w:type="character" w:customStyle="1" w:styleId="Heading1Char">
    <w:name w:val="Heading 1 Char"/>
    <w:basedOn w:val="DefaultParagraphFont"/>
    <w:link w:val="Heading1"/>
    <w:uiPriority w:val="9"/>
    <w:rsid w:val="00E27A9D"/>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DE5934"/>
    <w:rPr>
      <w:color w:val="0000FF" w:themeColor="hyperlink"/>
      <w:u w:val="single"/>
    </w:rPr>
  </w:style>
  <w:style w:type="paragraph" w:styleId="Footer">
    <w:name w:val="footer"/>
    <w:basedOn w:val="Normal"/>
    <w:link w:val="FooterChar"/>
    <w:uiPriority w:val="99"/>
    <w:unhideWhenUsed/>
    <w:rsid w:val="00584DC7"/>
    <w:pPr>
      <w:tabs>
        <w:tab w:val="center" w:pos="4320"/>
        <w:tab w:val="right" w:pos="8640"/>
      </w:tabs>
    </w:pPr>
  </w:style>
  <w:style w:type="character" w:customStyle="1" w:styleId="FooterChar">
    <w:name w:val="Footer Char"/>
    <w:basedOn w:val="DefaultParagraphFont"/>
    <w:link w:val="Footer"/>
    <w:uiPriority w:val="99"/>
    <w:rsid w:val="00584DC7"/>
  </w:style>
  <w:style w:type="character" w:styleId="PageNumber">
    <w:name w:val="page number"/>
    <w:basedOn w:val="DefaultParagraphFont"/>
    <w:uiPriority w:val="99"/>
    <w:semiHidden/>
    <w:unhideWhenUsed/>
    <w:rsid w:val="00584DC7"/>
  </w:style>
  <w:style w:type="character" w:customStyle="1" w:styleId="Heading2Char">
    <w:name w:val="Heading 2 Char"/>
    <w:basedOn w:val="DefaultParagraphFont"/>
    <w:link w:val="Heading2"/>
    <w:uiPriority w:val="9"/>
    <w:rsid w:val="00E27A9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87D8B"/>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87D8B"/>
    <w:pPr>
      <w:ind w:left="240"/>
    </w:pPr>
    <w:rPr>
      <w:rFonts w:asciiTheme="minorHAnsi" w:hAnsiTheme="minorHAnsi"/>
      <w:smallCaps/>
      <w:sz w:val="20"/>
      <w:szCs w:val="20"/>
    </w:rPr>
  </w:style>
  <w:style w:type="paragraph" w:styleId="TOC3">
    <w:name w:val="toc 3"/>
    <w:basedOn w:val="Normal"/>
    <w:next w:val="Normal"/>
    <w:autoRedefine/>
    <w:uiPriority w:val="39"/>
    <w:unhideWhenUsed/>
    <w:rsid w:val="00C87D8B"/>
    <w:pPr>
      <w:ind w:left="480"/>
    </w:pPr>
    <w:rPr>
      <w:rFonts w:asciiTheme="minorHAnsi" w:hAnsiTheme="minorHAnsi"/>
      <w:i/>
      <w:iCs/>
      <w:sz w:val="20"/>
      <w:szCs w:val="20"/>
    </w:rPr>
  </w:style>
  <w:style w:type="paragraph" w:styleId="TOC4">
    <w:name w:val="toc 4"/>
    <w:basedOn w:val="Normal"/>
    <w:next w:val="Normal"/>
    <w:autoRedefine/>
    <w:uiPriority w:val="39"/>
    <w:unhideWhenUsed/>
    <w:rsid w:val="00C87D8B"/>
    <w:pPr>
      <w:ind w:left="720"/>
    </w:pPr>
    <w:rPr>
      <w:rFonts w:asciiTheme="minorHAnsi" w:hAnsiTheme="minorHAnsi"/>
      <w:sz w:val="18"/>
      <w:szCs w:val="18"/>
    </w:rPr>
  </w:style>
  <w:style w:type="paragraph" w:styleId="TOC5">
    <w:name w:val="toc 5"/>
    <w:basedOn w:val="Normal"/>
    <w:next w:val="Normal"/>
    <w:autoRedefine/>
    <w:uiPriority w:val="39"/>
    <w:unhideWhenUsed/>
    <w:rsid w:val="00C87D8B"/>
    <w:pPr>
      <w:ind w:left="960"/>
    </w:pPr>
    <w:rPr>
      <w:rFonts w:asciiTheme="minorHAnsi" w:hAnsiTheme="minorHAnsi"/>
      <w:sz w:val="18"/>
      <w:szCs w:val="18"/>
    </w:rPr>
  </w:style>
  <w:style w:type="paragraph" w:styleId="TOC6">
    <w:name w:val="toc 6"/>
    <w:basedOn w:val="Normal"/>
    <w:next w:val="Normal"/>
    <w:autoRedefine/>
    <w:uiPriority w:val="39"/>
    <w:unhideWhenUsed/>
    <w:rsid w:val="00C87D8B"/>
    <w:pPr>
      <w:ind w:left="1200"/>
    </w:pPr>
    <w:rPr>
      <w:rFonts w:asciiTheme="minorHAnsi" w:hAnsiTheme="minorHAnsi"/>
      <w:sz w:val="18"/>
      <w:szCs w:val="18"/>
    </w:rPr>
  </w:style>
  <w:style w:type="paragraph" w:styleId="TOC7">
    <w:name w:val="toc 7"/>
    <w:basedOn w:val="Normal"/>
    <w:next w:val="Normal"/>
    <w:autoRedefine/>
    <w:uiPriority w:val="39"/>
    <w:unhideWhenUsed/>
    <w:rsid w:val="00C87D8B"/>
    <w:pPr>
      <w:ind w:left="1440"/>
    </w:pPr>
    <w:rPr>
      <w:rFonts w:asciiTheme="minorHAnsi" w:hAnsiTheme="minorHAnsi"/>
      <w:sz w:val="18"/>
      <w:szCs w:val="18"/>
    </w:rPr>
  </w:style>
  <w:style w:type="paragraph" w:styleId="TOC8">
    <w:name w:val="toc 8"/>
    <w:basedOn w:val="Normal"/>
    <w:next w:val="Normal"/>
    <w:autoRedefine/>
    <w:uiPriority w:val="39"/>
    <w:unhideWhenUsed/>
    <w:rsid w:val="00C87D8B"/>
    <w:pPr>
      <w:ind w:left="1680"/>
    </w:pPr>
    <w:rPr>
      <w:rFonts w:asciiTheme="minorHAnsi" w:hAnsiTheme="minorHAnsi"/>
      <w:sz w:val="18"/>
      <w:szCs w:val="18"/>
    </w:rPr>
  </w:style>
  <w:style w:type="paragraph" w:styleId="TOC9">
    <w:name w:val="toc 9"/>
    <w:basedOn w:val="Normal"/>
    <w:next w:val="Normal"/>
    <w:autoRedefine/>
    <w:uiPriority w:val="39"/>
    <w:unhideWhenUsed/>
    <w:rsid w:val="00C87D8B"/>
    <w:pPr>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77363"/>
    <w:rPr>
      <w:color w:val="800080" w:themeColor="followedHyperlink"/>
      <w:u w:val="single"/>
    </w:rPr>
  </w:style>
  <w:style w:type="character" w:styleId="UnresolvedMention">
    <w:name w:val="Unresolved Mention"/>
    <w:basedOn w:val="DefaultParagraphFont"/>
    <w:uiPriority w:val="99"/>
    <w:semiHidden/>
    <w:unhideWhenUsed/>
    <w:rsid w:val="00857E54"/>
    <w:rPr>
      <w:color w:val="605E5C"/>
      <w:shd w:val="clear" w:color="auto" w:fill="E1DFDD"/>
    </w:rPr>
  </w:style>
  <w:style w:type="character" w:customStyle="1" w:styleId="Heading3Char">
    <w:name w:val="Heading 3 Char"/>
    <w:basedOn w:val="DefaultParagraphFont"/>
    <w:link w:val="Heading3"/>
    <w:uiPriority w:val="9"/>
    <w:semiHidden/>
    <w:rsid w:val="00765D9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A6028F"/>
    <w:rPr>
      <w:sz w:val="18"/>
      <w:szCs w:val="18"/>
    </w:rPr>
  </w:style>
  <w:style w:type="character" w:customStyle="1" w:styleId="BalloonTextChar">
    <w:name w:val="Balloon Text Char"/>
    <w:basedOn w:val="DefaultParagraphFont"/>
    <w:link w:val="BalloonText"/>
    <w:uiPriority w:val="99"/>
    <w:semiHidden/>
    <w:rsid w:val="00A6028F"/>
    <w:rPr>
      <w:rFonts w:ascii="Times New Roman" w:eastAsia="Times New Roman" w:hAnsi="Times New Roman" w:cs="Times New Roman"/>
      <w:sz w:val="18"/>
      <w:szCs w:val="18"/>
      <w:lang w:val="en-CA"/>
    </w:rPr>
  </w:style>
  <w:style w:type="paragraph" w:styleId="TOCHeading">
    <w:name w:val="TOC Heading"/>
    <w:basedOn w:val="Heading1"/>
    <w:next w:val="Normal"/>
    <w:uiPriority w:val="39"/>
    <w:unhideWhenUsed/>
    <w:qFormat/>
    <w:rsid w:val="00997FB9"/>
    <w:pPr>
      <w:numPr>
        <w:numId w:val="0"/>
      </w:numPr>
      <w:spacing w:line="276" w:lineRule="auto"/>
      <w:outlineLvl w:val="9"/>
    </w:pPr>
    <w:rPr>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20">
      <w:bodyDiv w:val="1"/>
      <w:marLeft w:val="0"/>
      <w:marRight w:val="0"/>
      <w:marTop w:val="0"/>
      <w:marBottom w:val="0"/>
      <w:divBdr>
        <w:top w:val="none" w:sz="0" w:space="0" w:color="auto"/>
        <w:left w:val="none" w:sz="0" w:space="0" w:color="auto"/>
        <w:bottom w:val="none" w:sz="0" w:space="0" w:color="auto"/>
        <w:right w:val="none" w:sz="0" w:space="0" w:color="auto"/>
      </w:divBdr>
      <w:divsChild>
        <w:div w:id="841311679">
          <w:marLeft w:val="0"/>
          <w:marRight w:val="0"/>
          <w:marTop w:val="0"/>
          <w:marBottom w:val="0"/>
          <w:divBdr>
            <w:top w:val="none" w:sz="0" w:space="0" w:color="auto"/>
            <w:left w:val="none" w:sz="0" w:space="0" w:color="auto"/>
            <w:bottom w:val="none" w:sz="0" w:space="0" w:color="auto"/>
            <w:right w:val="none" w:sz="0" w:space="0" w:color="auto"/>
          </w:divBdr>
          <w:divsChild>
            <w:div w:id="977226929">
              <w:marLeft w:val="0"/>
              <w:marRight w:val="0"/>
              <w:marTop w:val="0"/>
              <w:marBottom w:val="0"/>
              <w:divBdr>
                <w:top w:val="none" w:sz="0" w:space="0" w:color="auto"/>
                <w:left w:val="none" w:sz="0" w:space="0" w:color="auto"/>
                <w:bottom w:val="none" w:sz="0" w:space="0" w:color="auto"/>
                <w:right w:val="none" w:sz="0" w:space="0" w:color="auto"/>
              </w:divBdr>
              <w:divsChild>
                <w:div w:id="13332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146">
      <w:bodyDiv w:val="1"/>
      <w:marLeft w:val="0"/>
      <w:marRight w:val="0"/>
      <w:marTop w:val="0"/>
      <w:marBottom w:val="0"/>
      <w:divBdr>
        <w:top w:val="none" w:sz="0" w:space="0" w:color="auto"/>
        <w:left w:val="none" w:sz="0" w:space="0" w:color="auto"/>
        <w:bottom w:val="none" w:sz="0" w:space="0" w:color="auto"/>
        <w:right w:val="none" w:sz="0" w:space="0" w:color="auto"/>
      </w:divBdr>
    </w:div>
    <w:div w:id="42100095">
      <w:bodyDiv w:val="1"/>
      <w:marLeft w:val="0"/>
      <w:marRight w:val="0"/>
      <w:marTop w:val="0"/>
      <w:marBottom w:val="0"/>
      <w:divBdr>
        <w:top w:val="none" w:sz="0" w:space="0" w:color="auto"/>
        <w:left w:val="none" w:sz="0" w:space="0" w:color="auto"/>
        <w:bottom w:val="none" w:sz="0" w:space="0" w:color="auto"/>
        <w:right w:val="none" w:sz="0" w:space="0" w:color="auto"/>
      </w:divBdr>
    </w:div>
    <w:div w:id="43405464">
      <w:bodyDiv w:val="1"/>
      <w:marLeft w:val="0"/>
      <w:marRight w:val="0"/>
      <w:marTop w:val="0"/>
      <w:marBottom w:val="0"/>
      <w:divBdr>
        <w:top w:val="none" w:sz="0" w:space="0" w:color="auto"/>
        <w:left w:val="none" w:sz="0" w:space="0" w:color="auto"/>
        <w:bottom w:val="none" w:sz="0" w:space="0" w:color="auto"/>
        <w:right w:val="none" w:sz="0" w:space="0" w:color="auto"/>
      </w:divBdr>
    </w:div>
    <w:div w:id="111361894">
      <w:bodyDiv w:val="1"/>
      <w:marLeft w:val="0"/>
      <w:marRight w:val="0"/>
      <w:marTop w:val="0"/>
      <w:marBottom w:val="0"/>
      <w:divBdr>
        <w:top w:val="none" w:sz="0" w:space="0" w:color="auto"/>
        <w:left w:val="none" w:sz="0" w:space="0" w:color="auto"/>
        <w:bottom w:val="none" w:sz="0" w:space="0" w:color="auto"/>
        <w:right w:val="none" w:sz="0" w:space="0" w:color="auto"/>
      </w:divBdr>
    </w:div>
    <w:div w:id="118765289">
      <w:bodyDiv w:val="1"/>
      <w:marLeft w:val="0"/>
      <w:marRight w:val="0"/>
      <w:marTop w:val="0"/>
      <w:marBottom w:val="0"/>
      <w:divBdr>
        <w:top w:val="none" w:sz="0" w:space="0" w:color="auto"/>
        <w:left w:val="none" w:sz="0" w:space="0" w:color="auto"/>
        <w:bottom w:val="none" w:sz="0" w:space="0" w:color="auto"/>
        <w:right w:val="none" w:sz="0" w:space="0" w:color="auto"/>
      </w:divBdr>
    </w:div>
    <w:div w:id="237908612">
      <w:bodyDiv w:val="1"/>
      <w:marLeft w:val="0"/>
      <w:marRight w:val="0"/>
      <w:marTop w:val="0"/>
      <w:marBottom w:val="0"/>
      <w:divBdr>
        <w:top w:val="none" w:sz="0" w:space="0" w:color="auto"/>
        <w:left w:val="none" w:sz="0" w:space="0" w:color="auto"/>
        <w:bottom w:val="none" w:sz="0" w:space="0" w:color="auto"/>
        <w:right w:val="none" w:sz="0" w:space="0" w:color="auto"/>
      </w:divBdr>
    </w:div>
    <w:div w:id="238830588">
      <w:bodyDiv w:val="1"/>
      <w:marLeft w:val="0"/>
      <w:marRight w:val="0"/>
      <w:marTop w:val="0"/>
      <w:marBottom w:val="0"/>
      <w:divBdr>
        <w:top w:val="none" w:sz="0" w:space="0" w:color="auto"/>
        <w:left w:val="none" w:sz="0" w:space="0" w:color="auto"/>
        <w:bottom w:val="none" w:sz="0" w:space="0" w:color="auto"/>
        <w:right w:val="none" w:sz="0" w:space="0" w:color="auto"/>
      </w:divBdr>
    </w:div>
    <w:div w:id="243103886">
      <w:bodyDiv w:val="1"/>
      <w:marLeft w:val="0"/>
      <w:marRight w:val="0"/>
      <w:marTop w:val="0"/>
      <w:marBottom w:val="0"/>
      <w:divBdr>
        <w:top w:val="none" w:sz="0" w:space="0" w:color="auto"/>
        <w:left w:val="none" w:sz="0" w:space="0" w:color="auto"/>
        <w:bottom w:val="none" w:sz="0" w:space="0" w:color="auto"/>
        <w:right w:val="none" w:sz="0" w:space="0" w:color="auto"/>
      </w:divBdr>
    </w:div>
    <w:div w:id="286395451">
      <w:bodyDiv w:val="1"/>
      <w:marLeft w:val="0"/>
      <w:marRight w:val="0"/>
      <w:marTop w:val="0"/>
      <w:marBottom w:val="0"/>
      <w:divBdr>
        <w:top w:val="none" w:sz="0" w:space="0" w:color="auto"/>
        <w:left w:val="none" w:sz="0" w:space="0" w:color="auto"/>
        <w:bottom w:val="none" w:sz="0" w:space="0" w:color="auto"/>
        <w:right w:val="none" w:sz="0" w:space="0" w:color="auto"/>
      </w:divBdr>
    </w:div>
    <w:div w:id="380131956">
      <w:bodyDiv w:val="1"/>
      <w:marLeft w:val="0"/>
      <w:marRight w:val="0"/>
      <w:marTop w:val="0"/>
      <w:marBottom w:val="0"/>
      <w:divBdr>
        <w:top w:val="none" w:sz="0" w:space="0" w:color="auto"/>
        <w:left w:val="none" w:sz="0" w:space="0" w:color="auto"/>
        <w:bottom w:val="none" w:sz="0" w:space="0" w:color="auto"/>
        <w:right w:val="none" w:sz="0" w:space="0" w:color="auto"/>
      </w:divBdr>
      <w:divsChild>
        <w:div w:id="1551304038">
          <w:marLeft w:val="0"/>
          <w:marRight w:val="0"/>
          <w:marTop w:val="0"/>
          <w:marBottom w:val="0"/>
          <w:divBdr>
            <w:top w:val="none" w:sz="0" w:space="0" w:color="auto"/>
            <w:left w:val="none" w:sz="0" w:space="0" w:color="auto"/>
            <w:bottom w:val="none" w:sz="0" w:space="0" w:color="auto"/>
            <w:right w:val="none" w:sz="0" w:space="0" w:color="auto"/>
          </w:divBdr>
          <w:divsChild>
            <w:div w:id="947736500">
              <w:marLeft w:val="0"/>
              <w:marRight w:val="0"/>
              <w:marTop w:val="0"/>
              <w:marBottom w:val="0"/>
              <w:divBdr>
                <w:top w:val="none" w:sz="0" w:space="0" w:color="auto"/>
                <w:left w:val="none" w:sz="0" w:space="0" w:color="auto"/>
                <w:bottom w:val="none" w:sz="0" w:space="0" w:color="auto"/>
                <w:right w:val="none" w:sz="0" w:space="0" w:color="auto"/>
              </w:divBdr>
              <w:divsChild>
                <w:div w:id="21356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18201">
      <w:bodyDiv w:val="1"/>
      <w:marLeft w:val="0"/>
      <w:marRight w:val="0"/>
      <w:marTop w:val="0"/>
      <w:marBottom w:val="0"/>
      <w:divBdr>
        <w:top w:val="none" w:sz="0" w:space="0" w:color="auto"/>
        <w:left w:val="none" w:sz="0" w:space="0" w:color="auto"/>
        <w:bottom w:val="none" w:sz="0" w:space="0" w:color="auto"/>
        <w:right w:val="none" w:sz="0" w:space="0" w:color="auto"/>
      </w:divBdr>
    </w:div>
    <w:div w:id="472908758">
      <w:bodyDiv w:val="1"/>
      <w:marLeft w:val="0"/>
      <w:marRight w:val="0"/>
      <w:marTop w:val="0"/>
      <w:marBottom w:val="0"/>
      <w:divBdr>
        <w:top w:val="none" w:sz="0" w:space="0" w:color="auto"/>
        <w:left w:val="none" w:sz="0" w:space="0" w:color="auto"/>
        <w:bottom w:val="none" w:sz="0" w:space="0" w:color="auto"/>
        <w:right w:val="none" w:sz="0" w:space="0" w:color="auto"/>
      </w:divBdr>
    </w:div>
    <w:div w:id="498037008">
      <w:bodyDiv w:val="1"/>
      <w:marLeft w:val="0"/>
      <w:marRight w:val="0"/>
      <w:marTop w:val="0"/>
      <w:marBottom w:val="0"/>
      <w:divBdr>
        <w:top w:val="none" w:sz="0" w:space="0" w:color="auto"/>
        <w:left w:val="none" w:sz="0" w:space="0" w:color="auto"/>
        <w:bottom w:val="none" w:sz="0" w:space="0" w:color="auto"/>
        <w:right w:val="none" w:sz="0" w:space="0" w:color="auto"/>
      </w:divBdr>
    </w:div>
    <w:div w:id="501285001">
      <w:bodyDiv w:val="1"/>
      <w:marLeft w:val="0"/>
      <w:marRight w:val="0"/>
      <w:marTop w:val="0"/>
      <w:marBottom w:val="0"/>
      <w:divBdr>
        <w:top w:val="none" w:sz="0" w:space="0" w:color="auto"/>
        <w:left w:val="none" w:sz="0" w:space="0" w:color="auto"/>
        <w:bottom w:val="none" w:sz="0" w:space="0" w:color="auto"/>
        <w:right w:val="none" w:sz="0" w:space="0" w:color="auto"/>
      </w:divBdr>
    </w:div>
    <w:div w:id="507602686">
      <w:bodyDiv w:val="1"/>
      <w:marLeft w:val="0"/>
      <w:marRight w:val="0"/>
      <w:marTop w:val="0"/>
      <w:marBottom w:val="0"/>
      <w:divBdr>
        <w:top w:val="none" w:sz="0" w:space="0" w:color="auto"/>
        <w:left w:val="none" w:sz="0" w:space="0" w:color="auto"/>
        <w:bottom w:val="none" w:sz="0" w:space="0" w:color="auto"/>
        <w:right w:val="none" w:sz="0" w:space="0" w:color="auto"/>
      </w:divBdr>
    </w:div>
    <w:div w:id="559632655">
      <w:bodyDiv w:val="1"/>
      <w:marLeft w:val="0"/>
      <w:marRight w:val="0"/>
      <w:marTop w:val="0"/>
      <w:marBottom w:val="0"/>
      <w:divBdr>
        <w:top w:val="none" w:sz="0" w:space="0" w:color="auto"/>
        <w:left w:val="none" w:sz="0" w:space="0" w:color="auto"/>
        <w:bottom w:val="none" w:sz="0" w:space="0" w:color="auto"/>
        <w:right w:val="none" w:sz="0" w:space="0" w:color="auto"/>
      </w:divBdr>
      <w:divsChild>
        <w:div w:id="1496339615">
          <w:marLeft w:val="0"/>
          <w:marRight w:val="0"/>
          <w:marTop w:val="0"/>
          <w:marBottom w:val="0"/>
          <w:divBdr>
            <w:top w:val="none" w:sz="0" w:space="0" w:color="auto"/>
            <w:left w:val="none" w:sz="0" w:space="0" w:color="auto"/>
            <w:bottom w:val="none" w:sz="0" w:space="0" w:color="auto"/>
            <w:right w:val="none" w:sz="0" w:space="0" w:color="auto"/>
          </w:divBdr>
        </w:div>
        <w:div w:id="1769429142">
          <w:marLeft w:val="0"/>
          <w:marRight w:val="0"/>
          <w:marTop w:val="0"/>
          <w:marBottom w:val="0"/>
          <w:divBdr>
            <w:top w:val="none" w:sz="0" w:space="0" w:color="auto"/>
            <w:left w:val="none" w:sz="0" w:space="0" w:color="auto"/>
            <w:bottom w:val="none" w:sz="0" w:space="0" w:color="auto"/>
            <w:right w:val="none" w:sz="0" w:space="0" w:color="auto"/>
          </w:divBdr>
        </w:div>
      </w:divsChild>
    </w:div>
    <w:div w:id="610086180">
      <w:bodyDiv w:val="1"/>
      <w:marLeft w:val="0"/>
      <w:marRight w:val="0"/>
      <w:marTop w:val="0"/>
      <w:marBottom w:val="0"/>
      <w:divBdr>
        <w:top w:val="none" w:sz="0" w:space="0" w:color="auto"/>
        <w:left w:val="none" w:sz="0" w:space="0" w:color="auto"/>
        <w:bottom w:val="none" w:sz="0" w:space="0" w:color="auto"/>
        <w:right w:val="none" w:sz="0" w:space="0" w:color="auto"/>
      </w:divBdr>
    </w:div>
    <w:div w:id="613708725">
      <w:bodyDiv w:val="1"/>
      <w:marLeft w:val="0"/>
      <w:marRight w:val="0"/>
      <w:marTop w:val="0"/>
      <w:marBottom w:val="0"/>
      <w:divBdr>
        <w:top w:val="none" w:sz="0" w:space="0" w:color="auto"/>
        <w:left w:val="none" w:sz="0" w:space="0" w:color="auto"/>
        <w:bottom w:val="none" w:sz="0" w:space="0" w:color="auto"/>
        <w:right w:val="none" w:sz="0" w:space="0" w:color="auto"/>
      </w:divBdr>
    </w:div>
    <w:div w:id="675420551">
      <w:bodyDiv w:val="1"/>
      <w:marLeft w:val="0"/>
      <w:marRight w:val="0"/>
      <w:marTop w:val="0"/>
      <w:marBottom w:val="0"/>
      <w:divBdr>
        <w:top w:val="none" w:sz="0" w:space="0" w:color="auto"/>
        <w:left w:val="none" w:sz="0" w:space="0" w:color="auto"/>
        <w:bottom w:val="none" w:sz="0" w:space="0" w:color="auto"/>
        <w:right w:val="none" w:sz="0" w:space="0" w:color="auto"/>
      </w:divBdr>
    </w:div>
    <w:div w:id="730007569">
      <w:bodyDiv w:val="1"/>
      <w:marLeft w:val="0"/>
      <w:marRight w:val="0"/>
      <w:marTop w:val="0"/>
      <w:marBottom w:val="0"/>
      <w:divBdr>
        <w:top w:val="none" w:sz="0" w:space="0" w:color="auto"/>
        <w:left w:val="none" w:sz="0" w:space="0" w:color="auto"/>
        <w:bottom w:val="none" w:sz="0" w:space="0" w:color="auto"/>
        <w:right w:val="none" w:sz="0" w:space="0" w:color="auto"/>
      </w:divBdr>
    </w:div>
    <w:div w:id="782457414">
      <w:bodyDiv w:val="1"/>
      <w:marLeft w:val="0"/>
      <w:marRight w:val="0"/>
      <w:marTop w:val="0"/>
      <w:marBottom w:val="0"/>
      <w:divBdr>
        <w:top w:val="none" w:sz="0" w:space="0" w:color="auto"/>
        <w:left w:val="none" w:sz="0" w:space="0" w:color="auto"/>
        <w:bottom w:val="none" w:sz="0" w:space="0" w:color="auto"/>
        <w:right w:val="none" w:sz="0" w:space="0" w:color="auto"/>
      </w:divBdr>
      <w:divsChild>
        <w:div w:id="1614439769">
          <w:marLeft w:val="0"/>
          <w:marRight w:val="0"/>
          <w:marTop w:val="0"/>
          <w:marBottom w:val="0"/>
          <w:divBdr>
            <w:top w:val="none" w:sz="0" w:space="0" w:color="auto"/>
            <w:left w:val="none" w:sz="0" w:space="0" w:color="auto"/>
            <w:bottom w:val="none" w:sz="0" w:space="0" w:color="auto"/>
            <w:right w:val="none" w:sz="0" w:space="0" w:color="auto"/>
          </w:divBdr>
          <w:divsChild>
            <w:div w:id="987512729">
              <w:marLeft w:val="0"/>
              <w:marRight w:val="0"/>
              <w:marTop w:val="0"/>
              <w:marBottom w:val="0"/>
              <w:divBdr>
                <w:top w:val="none" w:sz="0" w:space="0" w:color="auto"/>
                <w:left w:val="none" w:sz="0" w:space="0" w:color="auto"/>
                <w:bottom w:val="none" w:sz="0" w:space="0" w:color="auto"/>
                <w:right w:val="none" w:sz="0" w:space="0" w:color="auto"/>
              </w:divBdr>
              <w:divsChild>
                <w:div w:id="15751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4336">
      <w:bodyDiv w:val="1"/>
      <w:marLeft w:val="0"/>
      <w:marRight w:val="0"/>
      <w:marTop w:val="0"/>
      <w:marBottom w:val="0"/>
      <w:divBdr>
        <w:top w:val="none" w:sz="0" w:space="0" w:color="auto"/>
        <w:left w:val="none" w:sz="0" w:space="0" w:color="auto"/>
        <w:bottom w:val="none" w:sz="0" w:space="0" w:color="auto"/>
        <w:right w:val="none" w:sz="0" w:space="0" w:color="auto"/>
      </w:divBdr>
    </w:div>
    <w:div w:id="803229437">
      <w:bodyDiv w:val="1"/>
      <w:marLeft w:val="0"/>
      <w:marRight w:val="0"/>
      <w:marTop w:val="0"/>
      <w:marBottom w:val="0"/>
      <w:divBdr>
        <w:top w:val="none" w:sz="0" w:space="0" w:color="auto"/>
        <w:left w:val="none" w:sz="0" w:space="0" w:color="auto"/>
        <w:bottom w:val="none" w:sz="0" w:space="0" w:color="auto"/>
        <w:right w:val="none" w:sz="0" w:space="0" w:color="auto"/>
      </w:divBdr>
      <w:divsChild>
        <w:div w:id="1044911911">
          <w:marLeft w:val="0"/>
          <w:marRight w:val="0"/>
          <w:marTop w:val="0"/>
          <w:marBottom w:val="0"/>
          <w:divBdr>
            <w:top w:val="none" w:sz="0" w:space="0" w:color="auto"/>
            <w:left w:val="none" w:sz="0" w:space="0" w:color="auto"/>
            <w:bottom w:val="none" w:sz="0" w:space="0" w:color="auto"/>
            <w:right w:val="none" w:sz="0" w:space="0" w:color="auto"/>
          </w:divBdr>
          <w:divsChild>
            <w:div w:id="1376008868">
              <w:marLeft w:val="0"/>
              <w:marRight w:val="0"/>
              <w:marTop w:val="0"/>
              <w:marBottom w:val="0"/>
              <w:divBdr>
                <w:top w:val="none" w:sz="0" w:space="0" w:color="auto"/>
                <w:left w:val="none" w:sz="0" w:space="0" w:color="auto"/>
                <w:bottom w:val="none" w:sz="0" w:space="0" w:color="auto"/>
                <w:right w:val="none" w:sz="0" w:space="0" w:color="auto"/>
              </w:divBdr>
              <w:divsChild>
                <w:div w:id="19133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2107">
      <w:bodyDiv w:val="1"/>
      <w:marLeft w:val="0"/>
      <w:marRight w:val="0"/>
      <w:marTop w:val="0"/>
      <w:marBottom w:val="0"/>
      <w:divBdr>
        <w:top w:val="none" w:sz="0" w:space="0" w:color="auto"/>
        <w:left w:val="none" w:sz="0" w:space="0" w:color="auto"/>
        <w:bottom w:val="none" w:sz="0" w:space="0" w:color="auto"/>
        <w:right w:val="none" w:sz="0" w:space="0" w:color="auto"/>
      </w:divBdr>
    </w:div>
    <w:div w:id="805705917">
      <w:bodyDiv w:val="1"/>
      <w:marLeft w:val="0"/>
      <w:marRight w:val="0"/>
      <w:marTop w:val="0"/>
      <w:marBottom w:val="0"/>
      <w:divBdr>
        <w:top w:val="none" w:sz="0" w:space="0" w:color="auto"/>
        <w:left w:val="none" w:sz="0" w:space="0" w:color="auto"/>
        <w:bottom w:val="none" w:sz="0" w:space="0" w:color="auto"/>
        <w:right w:val="none" w:sz="0" w:space="0" w:color="auto"/>
      </w:divBdr>
      <w:divsChild>
        <w:div w:id="1656256592">
          <w:marLeft w:val="0"/>
          <w:marRight w:val="0"/>
          <w:marTop w:val="0"/>
          <w:marBottom w:val="0"/>
          <w:divBdr>
            <w:top w:val="none" w:sz="0" w:space="0" w:color="auto"/>
            <w:left w:val="none" w:sz="0" w:space="0" w:color="auto"/>
            <w:bottom w:val="none" w:sz="0" w:space="0" w:color="auto"/>
            <w:right w:val="none" w:sz="0" w:space="0" w:color="auto"/>
          </w:divBdr>
          <w:divsChild>
            <w:div w:id="2001813414">
              <w:marLeft w:val="0"/>
              <w:marRight w:val="0"/>
              <w:marTop w:val="0"/>
              <w:marBottom w:val="0"/>
              <w:divBdr>
                <w:top w:val="none" w:sz="0" w:space="0" w:color="auto"/>
                <w:left w:val="none" w:sz="0" w:space="0" w:color="auto"/>
                <w:bottom w:val="none" w:sz="0" w:space="0" w:color="auto"/>
                <w:right w:val="none" w:sz="0" w:space="0" w:color="auto"/>
              </w:divBdr>
              <w:divsChild>
                <w:div w:id="3147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3998">
      <w:bodyDiv w:val="1"/>
      <w:marLeft w:val="0"/>
      <w:marRight w:val="0"/>
      <w:marTop w:val="0"/>
      <w:marBottom w:val="0"/>
      <w:divBdr>
        <w:top w:val="none" w:sz="0" w:space="0" w:color="auto"/>
        <w:left w:val="none" w:sz="0" w:space="0" w:color="auto"/>
        <w:bottom w:val="none" w:sz="0" w:space="0" w:color="auto"/>
        <w:right w:val="none" w:sz="0" w:space="0" w:color="auto"/>
      </w:divBdr>
      <w:divsChild>
        <w:div w:id="970673132">
          <w:marLeft w:val="0"/>
          <w:marRight w:val="0"/>
          <w:marTop w:val="0"/>
          <w:marBottom w:val="0"/>
          <w:divBdr>
            <w:top w:val="none" w:sz="0" w:space="0" w:color="auto"/>
            <w:left w:val="none" w:sz="0" w:space="0" w:color="auto"/>
            <w:bottom w:val="none" w:sz="0" w:space="0" w:color="auto"/>
            <w:right w:val="none" w:sz="0" w:space="0" w:color="auto"/>
          </w:divBdr>
          <w:divsChild>
            <w:div w:id="213125572">
              <w:marLeft w:val="0"/>
              <w:marRight w:val="0"/>
              <w:marTop w:val="0"/>
              <w:marBottom w:val="0"/>
              <w:divBdr>
                <w:top w:val="none" w:sz="0" w:space="0" w:color="auto"/>
                <w:left w:val="none" w:sz="0" w:space="0" w:color="auto"/>
                <w:bottom w:val="none" w:sz="0" w:space="0" w:color="auto"/>
                <w:right w:val="none" w:sz="0" w:space="0" w:color="auto"/>
              </w:divBdr>
              <w:divsChild>
                <w:div w:id="127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5549">
      <w:bodyDiv w:val="1"/>
      <w:marLeft w:val="0"/>
      <w:marRight w:val="0"/>
      <w:marTop w:val="0"/>
      <w:marBottom w:val="0"/>
      <w:divBdr>
        <w:top w:val="none" w:sz="0" w:space="0" w:color="auto"/>
        <w:left w:val="none" w:sz="0" w:space="0" w:color="auto"/>
        <w:bottom w:val="none" w:sz="0" w:space="0" w:color="auto"/>
        <w:right w:val="none" w:sz="0" w:space="0" w:color="auto"/>
      </w:divBdr>
    </w:div>
    <w:div w:id="975452657">
      <w:bodyDiv w:val="1"/>
      <w:marLeft w:val="0"/>
      <w:marRight w:val="0"/>
      <w:marTop w:val="0"/>
      <w:marBottom w:val="0"/>
      <w:divBdr>
        <w:top w:val="none" w:sz="0" w:space="0" w:color="auto"/>
        <w:left w:val="none" w:sz="0" w:space="0" w:color="auto"/>
        <w:bottom w:val="none" w:sz="0" w:space="0" w:color="auto"/>
        <w:right w:val="none" w:sz="0" w:space="0" w:color="auto"/>
      </w:divBdr>
    </w:div>
    <w:div w:id="994531018">
      <w:bodyDiv w:val="1"/>
      <w:marLeft w:val="0"/>
      <w:marRight w:val="0"/>
      <w:marTop w:val="0"/>
      <w:marBottom w:val="0"/>
      <w:divBdr>
        <w:top w:val="none" w:sz="0" w:space="0" w:color="auto"/>
        <w:left w:val="none" w:sz="0" w:space="0" w:color="auto"/>
        <w:bottom w:val="none" w:sz="0" w:space="0" w:color="auto"/>
        <w:right w:val="none" w:sz="0" w:space="0" w:color="auto"/>
      </w:divBdr>
    </w:div>
    <w:div w:id="1038506859">
      <w:bodyDiv w:val="1"/>
      <w:marLeft w:val="0"/>
      <w:marRight w:val="0"/>
      <w:marTop w:val="0"/>
      <w:marBottom w:val="0"/>
      <w:divBdr>
        <w:top w:val="none" w:sz="0" w:space="0" w:color="auto"/>
        <w:left w:val="none" w:sz="0" w:space="0" w:color="auto"/>
        <w:bottom w:val="none" w:sz="0" w:space="0" w:color="auto"/>
        <w:right w:val="none" w:sz="0" w:space="0" w:color="auto"/>
      </w:divBdr>
      <w:divsChild>
        <w:div w:id="1463112017">
          <w:marLeft w:val="0"/>
          <w:marRight w:val="0"/>
          <w:marTop w:val="0"/>
          <w:marBottom w:val="0"/>
          <w:divBdr>
            <w:top w:val="none" w:sz="0" w:space="0" w:color="auto"/>
            <w:left w:val="none" w:sz="0" w:space="0" w:color="auto"/>
            <w:bottom w:val="none" w:sz="0" w:space="0" w:color="auto"/>
            <w:right w:val="none" w:sz="0" w:space="0" w:color="auto"/>
          </w:divBdr>
          <w:divsChild>
            <w:div w:id="1824084863">
              <w:marLeft w:val="0"/>
              <w:marRight w:val="0"/>
              <w:marTop w:val="0"/>
              <w:marBottom w:val="0"/>
              <w:divBdr>
                <w:top w:val="none" w:sz="0" w:space="0" w:color="auto"/>
                <w:left w:val="none" w:sz="0" w:space="0" w:color="auto"/>
                <w:bottom w:val="none" w:sz="0" w:space="0" w:color="auto"/>
                <w:right w:val="none" w:sz="0" w:space="0" w:color="auto"/>
              </w:divBdr>
              <w:divsChild>
                <w:div w:id="7607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467">
      <w:bodyDiv w:val="1"/>
      <w:marLeft w:val="0"/>
      <w:marRight w:val="0"/>
      <w:marTop w:val="0"/>
      <w:marBottom w:val="0"/>
      <w:divBdr>
        <w:top w:val="none" w:sz="0" w:space="0" w:color="auto"/>
        <w:left w:val="none" w:sz="0" w:space="0" w:color="auto"/>
        <w:bottom w:val="none" w:sz="0" w:space="0" w:color="auto"/>
        <w:right w:val="none" w:sz="0" w:space="0" w:color="auto"/>
      </w:divBdr>
    </w:div>
    <w:div w:id="1098602091">
      <w:bodyDiv w:val="1"/>
      <w:marLeft w:val="0"/>
      <w:marRight w:val="0"/>
      <w:marTop w:val="0"/>
      <w:marBottom w:val="0"/>
      <w:divBdr>
        <w:top w:val="none" w:sz="0" w:space="0" w:color="auto"/>
        <w:left w:val="none" w:sz="0" w:space="0" w:color="auto"/>
        <w:bottom w:val="none" w:sz="0" w:space="0" w:color="auto"/>
        <w:right w:val="none" w:sz="0" w:space="0" w:color="auto"/>
      </w:divBdr>
    </w:div>
    <w:div w:id="1175531863">
      <w:bodyDiv w:val="1"/>
      <w:marLeft w:val="0"/>
      <w:marRight w:val="0"/>
      <w:marTop w:val="0"/>
      <w:marBottom w:val="0"/>
      <w:divBdr>
        <w:top w:val="none" w:sz="0" w:space="0" w:color="auto"/>
        <w:left w:val="none" w:sz="0" w:space="0" w:color="auto"/>
        <w:bottom w:val="none" w:sz="0" w:space="0" w:color="auto"/>
        <w:right w:val="none" w:sz="0" w:space="0" w:color="auto"/>
      </w:divBdr>
    </w:div>
    <w:div w:id="1187717163">
      <w:bodyDiv w:val="1"/>
      <w:marLeft w:val="0"/>
      <w:marRight w:val="0"/>
      <w:marTop w:val="0"/>
      <w:marBottom w:val="0"/>
      <w:divBdr>
        <w:top w:val="none" w:sz="0" w:space="0" w:color="auto"/>
        <w:left w:val="none" w:sz="0" w:space="0" w:color="auto"/>
        <w:bottom w:val="none" w:sz="0" w:space="0" w:color="auto"/>
        <w:right w:val="none" w:sz="0" w:space="0" w:color="auto"/>
      </w:divBdr>
    </w:div>
    <w:div w:id="1213299755">
      <w:bodyDiv w:val="1"/>
      <w:marLeft w:val="0"/>
      <w:marRight w:val="0"/>
      <w:marTop w:val="0"/>
      <w:marBottom w:val="0"/>
      <w:divBdr>
        <w:top w:val="none" w:sz="0" w:space="0" w:color="auto"/>
        <w:left w:val="none" w:sz="0" w:space="0" w:color="auto"/>
        <w:bottom w:val="none" w:sz="0" w:space="0" w:color="auto"/>
        <w:right w:val="none" w:sz="0" w:space="0" w:color="auto"/>
      </w:divBdr>
    </w:div>
    <w:div w:id="1232617896">
      <w:bodyDiv w:val="1"/>
      <w:marLeft w:val="0"/>
      <w:marRight w:val="0"/>
      <w:marTop w:val="0"/>
      <w:marBottom w:val="0"/>
      <w:divBdr>
        <w:top w:val="none" w:sz="0" w:space="0" w:color="auto"/>
        <w:left w:val="none" w:sz="0" w:space="0" w:color="auto"/>
        <w:bottom w:val="none" w:sz="0" w:space="0" w:color="auto"/>
        <w:right w:val="none" w:sz="0" w:space="0" w:color="auto"/>
      </w:divBdr>
    </w:div>
    <w:div w:id="1238976236">
      <w:bodyDiv w:val="1"/>
      <w:marLeft w:val="0"/>
      <w:marRight w:val="0"/>
      <w:marTop w:val="0"/>
      <w:marBottom w:val="0"/>
      <w:divBdr>
        <w:top w:val="none" w:sz="0" w:space="0" w:color="auto"/>
        <w:left w:val="none" w:sz="0" w:space="0" w:color="auto"/>
        <w:bottom w:val="none" w:sz="0" w:space="0" w:color="auto"/>
        <w:right w:val="none" w:sz="0" w:space="0" w:color="auto"/>
      </w:divBdr>
      <w:divsChild>
        <w:div w:id="62065066">
          <w:marLeft w:val="0"/>
          <w:marRight w:val="0"/>
          <w:marTop w:val="0"/>
          <w:marBottom w:val="0"/>
          <w:divBdr>
            <w:top w:val="none" w:sz="0" w:space="0" w:color="auto"/>
            <w:left w:val="none" w:sz="0" w:space="0" w:color="auto"/>
            <w:bottom w:val="none" w:sz="0" w:space="0" w:color="auto"/>
            <w:right w:val="none" w:sz="0" w:space="0" w:color="auto"/>
          </w:divBdr>
          <w:divsChild>
            <w:div w:id="1485581462">
              <w:marLeft w:val="0"/>
              <w:marRight w:val="0"/>
              <w:marTop w:val="0"/>
              <w:marBottom w:val="0"/>
              <w:divBdr>
                <w:top w:val="none" w:sz="0" w:space="0" w:color="auto"/>
                <w:left w:val="none" w:sz="0" w:space="0" w:color="auto"/>
                <w:bottom w:val="none" w:sz="0" w:space="0" w:color="auto"/>
                <w:right w:val="none" w:sz="0" w:space="0" w:color="auto"/>
              </w:divBdr>
              <w:divsChild>
                <w:div w:id="18151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4134">
      <w:bodyDiv w:val="1"/>
      <w:marLeft w:val="0"/>
      <w:marRight w:val="0"/>
      <w:marTop w:val="0"/>
      <w:marBottom w:val="0"/>
      <w:divBdr>
        <w:top w:val="none" w:sz="0" w:space="0" w:color="auto"/>
        <w:left w:val="none" w:sz="0" w:space="0" w:color="auto"/>
        <w:bottom w:val="none" w:sz="0" w:space="0" w:color="auto"/>
        <w:right w:val="none" w:sz="0" w:space="0" w:color="auto"/>
      </w:divBdr>
      <w:divsChild>
        <w:div w:id="1367371639">
          <w:marLeft w:val="0"/>
          <w:marRight w:val="0"/>
          <w:marTop w:val="0"/>
          <w:marBottom w:val="0"/>
          <w:divBdr>
            <w:top w:val="none" w:sz="0" w:space="0" w:color="auto"/>
            <w:left w:val="none" w:sz="0" w:space="0" w:color="auto"/>
            <w:bottom w:val="none" w:sz="0" w:space="0" w:color="auto"/>
            <w:right w:val="none" w:sz="0" w:space="0" w:color="auto"/>
          </w:divBdr>
          <w:divsChild>
            <w:div w:id="999314326">
              <w:marLeft w:val="0"/>
              <w:marRight w:val="0"/>
              <w:marTop w:val="0"/>
              <w:marBottom w:val="0"/>
              <w:divBdr>
                <w:top w:val="none" w:sz="0" w:space="0" w:color="auto"/>
                <w:left w:val="none" w:sz="0" w:space="0" w:color="auto"/>
                <w:bottom w:val="none" w:sz="0" w:space="0" w:color="auto"/>
                <w:right w:val="none" w:sz="0" w:space="0" w:color="auto"/>
              </w:divBdr>
              <w:divsChild>
                <w:div w:id="15735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4154">
      <w:bodyDiv w:val="1"/>
      <w:marLeft w:val="0"/>
      <w:marRight w:val="0"/>
      <w:marTop w:val="0"/>
      <w:marBottom w:val="0"/>
      <w:divBdr>
        <w:top w:val="none" w:sz="0" w:space="0" w:color="auto"/>
        <w:left w:val="none" w:sz="0" w:space="0" w:color="auto"/>
        <w:bottom w:val="none" w:sz="0" w:space="0" w:color="auto"/>
        <w:right w:val="none" w:sz="0" w:space="0" w:color="auto"/>
      </w:divBdr>
    </w:div>
    <w:div w:id="1316226625">
      <w:bodyDiv w:val="1"/>
      <w:marLeft w:val="0"/>
      <w:marRight w:val="0"/>
      <w:marTop w:val="0"/>
      <w:marBottom w:val="0"/>
      <w:divBdr>
        <w:top w:val="none" w:sz="0" w:space="0" w:color="auto"/>
        <w:left w:val="none" w:sz="0" w:space="0" w:color="auto"/>
        <w:bottom w:val="none" w:sz="0" w:space="0" w:color="auto"/>
        <w:right w:val="none" w:sz="0" w:space="0" w:color="auto"/>
      </w:divBdr>
    </w:div>
    <w:div w:id="1344238243">
      <w:bodyDiv w:val="1"/>
      <w:marLeft w:val="0"/>
      <w:marRight w:val="0"/>
      <w:marTop w:val="0"/>
      <w:marBottom w:val="0"/>
      <w:divBdr>
        <w:top w:val="none" w:sz="0" w:space="0" w:color="auto"/>
        <w:left w:val="none" w:sz="0" w:space="0" w:color="auto"/>
        <w:bottom w:val="none" w:sz="0" w:space="0" w:color="auto"/>
        <w:right w:val="none" w:sz="0" w:space="0" w:color="auto"/>
      </w:divBdr>
    </w:div>
    <w:div w:id="1348797825">
      <w:bodyDiv w:val="1"/>
      <w:marLeft w:val="0"/>
      <w:marRight w:val="0"/>
      <w:marTop w:val="0"/>
      <w:marBottom w:val="0"/>
      <w:divBdr>
        <w:top w:val="none" w:sz="0" w:space="0" w:color="auto"/>
        <w:left w:val="none" w:sz="0" w:space="0" w:color="auto"/>
        <w:bottom w:val="none" w:sz="0" w:space="0" w:color="auto"/>
        <w:right w:val="none" w:sz="0" w:space="0" w:color="auto"/>
      </w:divBdr>
    </w:div>
    <w:div w:id="1400320570">
      <w:bodyDiv w:val="1"/>
      <w:marLeft w:val="0"/>
      <w:marRight w:val="0"/>
      <w:marTop w:val="0"/>
      <w:marBottom w:val="0"/>
      <w:divBdr>
        <w:top w:val="none" w:sz="0" w:space="0" w:color="auto"/>
        <w:left w:val="none" w:sz="0" w:space="0" w:color="auto"/>
        <w:bottom w:val="none" w:sz="0" w:space="0" w:color="auto"/>
        <w:right w:val="none" w:sz="0" w:space="0" w:color="auto"/>
      </w:divBdr>
    </w:div>
    <w:div w:id="1413893113">
      <w:bodyDiv w:val="1"/>
      <w:marLeft w:val="0"/>
      <w:marRight w:val="0"/>
      <w:marTop w:val="0"/>
      <w:marBottom w:val="0"/>
      <w:divBdr>
        <w:top w:val="none" w:sz="0" w:space="0" w:color="auto"/>
        <w:left w:val="none" w:sz="0" w:space="0" w:color="auto"/>
        <w:bottom w:val="none" w:sz="0" w:space="0" w:color="auto"/>
        <w:right w:val="none" w:sz="0" w:space="0" w:color="auto"/>
      </w:divBdr>
    </w:div>
    <w:div w:id="1434205180">
      <w:bodyDiv w:val="1"/>
      <w:marLeft w:val="0"/>
      <w:marRight w:val="0"/>
      <w:marTop w:val="0"/>
      <w:marBottom w:val="0"/>
      <w:divBdr>
        <w:top w:val="none" w:sz="0" w:space="0" w:color="auto"/>
        <w:left w:val="none" w:sz="0" w:space="0" w:color="auto"/>
        <w:bottom w:val="none" w:sz="0" w:space="0" w:color="auto"/>
        <w:right w:val="none" w:sz="0" w:space="0" w:color="auto"/>
      </w:divBdr>
      <w:divsChild>
        <w:div w:id="325670613">
          <w:marLeft w:val="0"/>
          <w:marRight w:val="0"/>
          <w:marTop w:val="0"/>
          <w:marBottom w:val="0"/>
          <w:divBdr>
            <w:top w:val="none" w:sz="0" w:space="0" w:color="auto"/>
            <w:left w:val="none" w:sz="0" w:space="0" w:color="auto"/>
            <w:bottom w:val="none" w:sz="0" w:space="0" w:color="auto"/>
            <w:right w:val="none" w:sz="0" w:space="0" w:color="auto"/>
          </w:divBdr>
          <w:divsChild>
            <w:div w:id="290021113">
              <w:marLeft w:val="0"/>
              <w:marRight w:val="0"/>
              <w:marTop w:val="0"/>
              <w:marBottom w:val="0"/>
              <w:divBdr>
                <w:top w:val="none" w:sz="0" w:space="0" w:color="auto"/>
                <w:left w:val="none" w:sz="0" w:space="0" w:color="auto"/>
                <w:bottom w:val="none" w:sz="0" w:space="0" w:color="auto"/>
                <w:right w:val="none" w:sz="0" w:space="0" w:color="auto"/>
              </w:divBdr>
              <w:divsChild>
                <w:div w:id="15534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806">
      <w:bodyDiv w:val="1"/>
      <w:marLeft w:val="0"/>
      <w:marRight w:val="0"/>
      <w:marTop w:val="0"/>
      <w:marBottom w:val="0"/>
      <w:divBdr>
        <w:top w:val="none" w:sz="0" w:space="0" w:color="auto"/>
        <w:left w:val="none" w:sz="0" w:space="0" w:color="auto"/>
        <w:bottom w:val="none" w:sz="0" w:space="0" w:color="auto"/>
        <w:right w:val="none" w:sz="0" w:space="0" w:color="auto"/>
      </w:divBdr>
    </w:div>
    <w:div w:id="1569725947">
      <w:bodyDiv w:val="1"/>
      <w:marLeft w:val="0"/>
      <w:marRight w:val="0"/>
      <w:marTop w:val="0"/>
      <w:marBottom w:val="0"/>
      <w:divBdr>
        <w:top w:val="none" w:sz="0" w:space="0" w:color="auto"/>
        <w:left w:val="none" w:sz="0" w:space="0" w:color="auto"/>
        <w:bottom w:val="none" w:sz="0" w:space="0" w:color="auto"/>
        <w:right w:val="none" w:sz="0" w:space="0" w:color="auto"/>
      </w:divBdr>
      <w:divsChild>
        <w:div w:id="1440295815">
          <w:marLeft w:val="0"/>
          <w:marRight w:val="0"/>
          <w:marTop w:val="0"/>
          <w:marBottom w:val="0"/>
          <w:divBdr>
            <w:top w:val="none" w:sz="0" w:space="0" w:color="auto"/>
            <w:left w:val="none" w:sz="0" w:space="0" w:color="auto"/>
            <w:bottom w:val="none" w:sz="0" w:space="0" w:color="auto"/>
            <w:right w:val="none" w:sz="0" w:space="0" w:color="auto"/>
          </w:divBdr>
          <w:divsChild>
            <w:div w:id="822507754">
              <w:marLeft w:val="0"/>
              <w:marRight w:val="0"/>
              <w:marTop w:val="0"/>
              <w:marBottom w:val="0"/>
              <w:divBdr>
                <w:top w:val="none" w:sz="0" w:space="0" w:color="auto"/>
                <w:left w:val="none" w:sz="0" w:space="0" w:color="auto"/>
                <w:bottom w:val="none" w:sz="0" w:space="0" w:color="auto"/>
                <w:right w:val="none" w:sz="0" w:space="0" w:color="auto"/>
              </w:divBdr>
              <w:divsChild>
                <w:div w:id="979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07351">
      <w:bodyDiv w:val="1"/>
      <w:marLeft w:val="0"/>
      <w:marRight w:val="0"/>
      <w:marTop w:val="0"/>
      <w:marBottom w:val="0"/>
      <w:divBdr>
        <w:top w:val="none" w:sz="0" w:space="0" w:color="auto"/>
        <w:left w:val="none" w:sz="0" w:space="0" w:color="auto"/>
        <w:bottom w:val="none" w:sz="0" w:space="0" w:color="auto"/>
        <w:right w:val="none" w:sz="0" w:space="0" w:color="auto"/>
      </w:divBdr>
    </w:div>
    <w:div w:id="1643193594">
      <w:bodyDiv w:val="1"/>
      <w:marLeft w:val="0"/>
      <w:marRight w:val="0"/>
      <w:marTop w:val="0"/>
      <w:marBottom w:val="0"/>
      <w:divBdr>
        <w:top w:val="none" w:sz="0" w:space="0" w:color="auto"/>
        <w:left w:val="none" w:sz="0" w:space="0" w:color="auto"/>
        <w:bottom w:val="none" w:sz="0" w:space="0" w:color="auto"/>
        <w:right w:val="none" w:sz="0" w:space="0" w:color="auto"/>
      </w:divBdr>
    </w:div>
    <w:div w:id="1657418878">
      <w:bodyDiv w:val="1"/>
      <w:marLeft w:val="0"/>
      <w:marRight w:val="0"/>
      <w:marTop w:val="0"/>
      <w:marBottom w:val="0"/>
      <w:divBdr>
        <w:top w:val="none" w:sz="0" w:space="0" w:color="auto"/>
        <w:left w:val="none" w:sz="0" w:space="0" w:color="auto"/>
        <w:bottom w:val="none" w:sz="0" w:space="0" w:color="auto"/>
        <w:right w:val="none" w:sz="0" w:space="0" w:color="auto"/>
      </w:divBdr>
      <w:divsChild>
        <w:div w:id="716467220">
          <w:marLeft w:val="0"/>
          <w:marRight w:val="0"/>
          <w:marTop w:val="0"/>
          <w:marBottom w:val="0"/>
          <w:divBdr>
            <w:top w:val="none" w:sz="0" w:space="0" w:color="auto"/>
            <w:left w:val="none" w:sz="0" w:space="0" w:color="auto"/>
            <w:bottom w:val="none" w:sz="0" w:space="0" w:color="auto"/>
            <w:right w:val="none" w:sz="0" w:space="0" w:color="auto"/>
          </w:divBdr>
          <w:divsChild>
            <w:div w:id="511996760">
              <w:marLeft w:val="0"/>
              <w:marRight w:val="0"/>
              <w:marTop w:val="0"/>
              <w:marBottom w:val="0"/>
              <w:divBdr>
                <w:top w:val="none" w:sz="0" w:space="0" w:color="auto"/>
                <w:left w:val="none" w:sz="0" w:space="0" w:color="auto"/>
                <w:bottom w:val="none" w:sz="0" w:space="0" w:color="auto"/>
                <w:right w:val="none" w:sz="0" w:space="0" w:color="auto"/>
              </w:divBdr>
              <w:divsChild>
                <w:div w:id="1650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12633">
      <w:bodyDiv w:val="1"/>
      <w:marLeft w:val="0"/>
      <w:marRight w:val="0"/>
      <w:marTop w:val="0"/>
      <w:marBottom w:val="0"/>
      <w:divBdr>
        <w:top w:val="none" w:sz="0" w:space="0" w:color="auto"/>
        <w:left w:val="none" w:sz="0" w:space="0" w:color="auto"/>
        <w:bottom w:val="none" w:sz="0" w:space="0" w:color="auto"/>
        <w:right w:val="none" w:sz="0" w:space="0" w:color="auto"/>
      </w:divBdr>
    </w:div>
    <w:div w:id="1675766732">
      <w:bodyDiv w:val="1"/>
      <w:marLeft w:val="0"/>
      <w:marRight w:val="0"/>
      <w:marTop w:val="0"/>
      <w:marBottom w:val="0"/>
      <w:divBdr>
        <w:top w:val="none" w:sz="0" w:space="0" w:color="auto"/>
        <w:left w:val="none" w:sz="0" w:space="0" w:color="auto"/>
        <w:bottom w:val="none" w:sz="0" w:space="0" w:color="auto"/>
        <w:right w:val="none" w:sz="0" w:space="0" w:color="auto"/>
      </w:divBdr>
    </w:div>
    <w:div w:id="1689528752">
      <w:bodyDiv w:val="1"/>
      <w:marLeft w:val="0"/>
      <w:marRight w:val="0"/>
      <w:marTop w:val="0"/>
      <w:marBottom w:val="0"/>
      <w:divBdr>
        <w:top w:val="none" w:sz="0" w:space="0" w:color="auto"/>
        <w:left w:val="none" w:sz="0" w:space="0" w:color="auto"/>
        <w:bottom w:val="none" w:sz="0" w:space="0" w:color="auto"/>
        <w:right w:val="none" w:sz="0" w:space="0" w:color="auto"/>
      </w:divBdr>
      <w:divsChild>
        <w:div w:id="204680368">
          <w:marLeft w:val="0"/>
          <w:marRight w:val="0"/>
          <w:marTop w:val="0"/>
          <w:marBottom w:val="0"/>
          <w:divBdr>
            <w:top w:val="none" w:sz="0" w:space="0" w:color="auto"/>
            <w:left w:val="none" w:sz="0" w:space="0" w:color="auto"/>
            <w:bottom w:val="none" w:sz="0" w:space="0" w:color="auto"/>
            <w:right w:val="none" w:sz="0" w:space="0" w:color="auto"/>
          </w:divBdr>
          <w:divsChild>
            <w:div w:id="989216619">
              <w:marLeft w:val="0"/>
              <w:marRight w:val="0"/>
              <w:marTop w:val="0"/>
              <w:marBottom w:val="0"/>
              <w:divBdr>
                <w:top w:val="none" w:sz="0" w:space="0" w:color="auto"/>
                <w:left w:val="none" w:sz="0" w:space="0" w:color="auto"/>
                <w:bottom w:val="none" w:sz="0" w:space="0" w:color="auto"/>
                <w:right w:val="none" w:sz="0" w:space="0" w:color="auto"/>
              </w:divBdr>
              <w:divsChild>
                <w:div w:id="34695510">
                  <w:marLeft w:val="0"/>
                  <w:marRight w:val="0"/>
                  <w:marTop w:val="0"/>
                  <w:marBottom w:val="0"/>
                  <w:divBdr>
                    <w:top w:val="none" w:sz="0" w:space="0" w:color="auto"/>
                    <w:left w:val="none" w:sz="0" w:space="0" w:color="auto"/>
                    <w:bottom w:val="none" w:sz="0" w:space="0" w:color="auto"/>
                    <w:right w:val="none" w:sz="0" w:space="0" w:color="auto"/>
                  </w:divBdr>
                  <w:divsChild>
                    <w:div w:id="52402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457492">
      <w:bodyDiv w:val="1"/>
      <w:marLeft w:val="0"/>
      <w:marRight w:val="0"/>
      <w:marTop w:val="0"/>
      <w:marBottom w:val="0"/>
      <w:divBdr>
        <w:top w:val="none" w:sz="0" w:space="0" w:color="auto"/>
        <w:left w:val="none" w:sz="0" w:space="0" w:color="auto"/>
        <w:bottom w:val="none" w:sz="0" w:space="0" w:color="auto"/>
        <w:right w:val="none" w:sz="0" w:space="0" w:color="auto"/>
      </w:divBdr>
    </w:div>
    <w:div w:id="1763835981">
      <w:bodyDiv w:val="1"/>
      <w:marLeft w:val="0"/>
      <w:marRight w:val="0"/>
      <w:marTop w:val="0"/>
      <w:marBottom w:val="0"/>
      <w:divBdr>
        <w:top w:val="none" w:sz="0" w:space="0" w:color="auto"/>
        <w:left w:val="none" w:sz="0" w:space="0" w:color="auto"/>
        <w:bottom w:val="none" w:sz="0" w:space="0" w:color="auto"/>
        <w:right w:val="none" w:sz="0" w:space="0" w:color="auto"/>
      </w:divBdr>
      <w:divsChild>
        <w:div w:id="1072003160">
          <w:marLeft w:val="0"/>
          <w:marRight w:val="0"/>
          <w:marTop w:val="0"/>
          <w:marBottom w:val="0"/>
          <w:divBdr>
            <w:top w:val="none" w:sz="0" w:space="0" w:color="auto"/>
            <w:left w:val="none" w:sz="0" w:space="0" w:color="auto"/>
            <w:bottom w:val="none" w:sz="0" w:space="0" w:color="auto"/>
            <w:right w:val="none" w:sz="0" w:space="0" w:color="auto"/>
          </w:divBdr>
          <w:divsChild>
            <w:div w:id="871958140">
              <w:marLeft w:val="0"/>
              <w:marRight w:val="0"/>
              <w:marTop w:val="0"/>
              <w:marBottom w:val="0"/>
              <w:divBdr>
                <w:top w:val="none" w:sz="0" w:space="0" w:color="auto"/>
                <w:left w:val="none" w:sz="0" w:space="0" w:color="auto"/>
                <w:bottom w:val="none" w:sz="0" w:space="0" w:color="auto"/>
                <w:right w:val="none" w:sz="0" w:space="0" w:color="auto"/>
              </w:divBdr>
              <w:divsChild>
                <w:div w:id="7916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640">
      <w:bodyDiv w:val="1"/>
      <w:marLeft w:val="0"/>
      <w:marRight w:val="0"/>
      <w:marTop w:val="0"/>
      <w:marBottom w:val="0"/>
      <w:divBdr>
        <w:top w:val="none" w:sz="0" w:space="0" w:color="auto"/>
        <w:left w:val="none" w:sz="0" w:space="0" w:color="auto"/>
        <w:bottom w:val="none" w:sz="0" w:space="0" w:color="auto"/>
        <w:right w:val="none" w:sz="0" w:space="0" w:color="auto"/>
      </w:divBdr>
    </w:div>
    <w:div w:id="1807156978">
      <w:bodyDiv w:val="1"/>
      <w:marLeft w:val="0"/>
      <w:marRight w:val="0"/>
      <w:marTop w:val="0"/>
      <w:marBottom w:val="0"/>
      <w:divBdr>
        <w:top w:val="none" w:sz="0" w:space="0" w:color="auto"/>
        <w:left w:val="none" w:sz="0" w:space="0" w:color="auto"/>
        <w:bottom w:val="none" w:sz="0" w:space="0" w:color="auto"/>
        <w:right w:val="none" w:sz="0" w:space="0" w:color="auto"/>
      </w:divBdr>
    </w:div>
    <w:div w:id="1931114190">
      <w:bodyDiv w:val="1"/>
      <w:marLeft w:val="0"/>
      <w:marRight w:val="0"/>
      <w:marTop w:val="0"/>
      <w:marBottom w:val="0"/>
      <w:divBdr>
        <w:top w:val="none" w:sz="0" w:space="0" w:color="auto"/>
        <w:left w:val="none" w:sz="0" w:space="0" w:color="auto"/>
        <w:bottom w:val="none" w:sz="0" w:space="0" w:color="auto"/>
        <w:right w:val="none" w:sz="0" w:space="0" w:color="auto"/>
      </w:divBdr>
      <w:divsChild>
        <w:div w:id="827752426">
          <w:marLeft w:val="0"/>
          <w:marRight w:val="0"/>
          <w:marTop w:val="0"/>
          <w:marBottom w:val="0"/>
          <w:divBdr>
            <w:top w:val="none" w:sz="0" w:space="0" w:color="auto"/>
            <w:left w:val="none" w:sz="0" w:space="0" w:color="auto"/>
            <w:bottom w:val="none" w:sz="0" w:space="0" w:color="auto"/>
            <w:right w:val="none" w:sz="0" w:space="0" w:color="auto"/>
          </w:divBdr>
          <w:divsChild>
            <w:div w:id="2103184806">
              <w:marLeft w:val="0"/>
              <w:marRight w:val="0"/>
              <w:marTop w:val="0"/>
              <w:marBottom w:val="0"/>
              <w:divBdr>
                <w:top w:val="none" w:sz="0" w:space="0" w:color="auto"/>
                <w:left w:val="none" w:sz="0" w:space="0" w:color="auto"/>
                <w:bottom w:val="none" w:sz="0" w:space="0" w:color="auto"/>
                <w:right w:val="none" w:sz="0" w:space="0" w:color="auto"/>
              </w:divBdr>
              <w:divsChild>
                <w:div w:id="2374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9406">
      <w:bodyDiv w:val="1"/>
      <w:marLeft w:val="0"/>
      <w:marRight w:val="0"/>
      <w:marTop w:val="0"/>
      <w:marBottom w:val="0"/>
      <w:divBdr>
        <w:top w:val="none" w:sz="0" w:space="0" w:color="auto"/>
        <w:left w:val="none" w:sz="0" w:space="0" w:color="auto"/>
        <w:bottom w:val="none" w:sz="0" w:space="0" w:color="auto"/>
        <w:right w:val="none" w:sz="0" w:space="0" w:color="auto"/>
      </w:divBdr>
    </w:div>
    <w:div w:id="2000107595">
      <w:bodyDiv w:val="1"/>
      <w:marLeft w:val="0"/>
      <w:marRight w:val="0"/>
      <w:marTop w:val="0"/>
      <w:marBottom w:val="0"/>
      <w:divBdr>
        <w:top w:val="none" w:sz="0" w:space="0" w:color="auto"/>
        <w:left w:val="none" w:sz="0" w:space="0" w:color="auto"/>
        <w:bottom w:val="none" w:sz="0" w:space="0" w:color="auto"/>
        <w:right w:val="none" w:sz="0" w:space="0" w:color="auto"/>
      </w:divBdr>
    </w:div>
    <w:div w:id="2037922829">
      <w:bodyDiv w:val="1"/>
      <w:marLeft w:val="0"/>
      <w:marRight w:val="0"/>
      <w:marTop w:val="0"/>
      <w:marBottom w:val="0"/>
      <w:divBdr>
        <w:top w:val="none" w:sz="0" w:space="0" w:color="auto"/>
        <w:left w:val="none" w:sz="0" w:space="0" w:color="auto"/>
        <w:bottom w:val="none" w:sz="0" w:space="0" w:color="auto"/>
        <w:right w:val="none" w:sz="0" w:space="0" w:color="auto"/>
      </w:divBdr>
    </w:div>
    <w:div w:id="2087267092">
      <w:bodyDiv w:val="1"/>
      <w:marLeft w:val="0"/>
      <w:marRight w:val="0"/>
      <w:marTop w:val="0"/>
      <w:marBottom w:val="0"/>
      <w:divBdr>
        <w:top w:val="none" w:sz="0" w:space="0" w:color="auto"/>
        <w:left w:val="none" w:sz="0" w:space="0" w:color="auto"/>
        <w:bottom w:val="none" w:sz="0" w:space="0" w:color="auto"/>
        <w:right w:val="none" w:sz="0" w:space="0" w:color="auto"/>
      </w:divBdr>
      <w:divsChild>
        <w:div w:id="1260675395">
          <w:marLeft w:val="0"/>
          <w:marRight w:val="0"/>
          <w:marTop w:val="0"/>
          <w:marBottom w:val="0"/>
          <w:divBdr>
            <w:top w:val="none" w:sz="0" w:space="0" w:color="auto"/>
            <w:left w:val="none" w:sz="0" w:space="0" w:color="auto"/>
            <w:bottom w:val="none" w:sz="0" w:space="0" w:color="auto"/>
            <w:right w:val="none" w:sz="0" w:space="0" w:color="auto"/>
          </w:divBdr>
        </w:div>
        <w:div w:id="1713311601">
          <w:marLeft w:val="0"/>
          <w:marRight w:val="0"/>
          <w:marTop w:val="0"/>
          <w:marBottom w:val="0"/>
          <w:divBdr>
            <w:top w:val="none" w:sz="0" w:space="0" w:color="auto"/>
            <w:left w:val="none" w:sz="0" w:space="0" w:color="auto"/>
            <w:bottom w:val="none" w:sz="0" w:space="0" w:color="auto"/>
            <w:right w:val="none" w:sz="0" w:space="0" w:color="auto"/>
          </w:divBdr>
        </w:div>
      </w:divsChild>
    </w:div>
    <w:div w:id="2140763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basicincomecanada.org/about_basic_income" TargetMode="External"/><Relationship Id="rId3" Type="http://schemas.openxmlformats.org/officeDocument/2006/relationships/hyperlink" Target="http://canlii.ca/t/hxj31" TargetMode="External"/><Relationship Id="rId7" Type="http://schemas.openxmlformats.org/officeDocument/2006/relationships/hyperlink" Target="https://basicincome.org/basic-income/" TargetMode="External"/><Relationship Id="rId2" Type="http://schemas.openxmlformats.org/officeDocument/2006/relationships/hyperlink" Target="https://www.thestar.com/news/queenspark/2018/08/01/ontario-minister-admits-she-broke-election-promise-when-she-axed-basic-income-project.html" TargetMode="External"/><Relationship Id="rId1" Type="http://schemas.openxmlformats.org/officeDocument/2006/relationships/hyperlink" Target="https://www.theglobeandmail.com/canada/article-ontario-government-defends-move-to-axe-basic-income-pilot-project-2/" TargetMode="External"/><Relationship Id="rId6" Type="http://schemas.openxmlformats.org/officeDocument/2006/relationships/hyperlink" Target="https://ethics.gc.ca/eng/policy-politique_tcps2-eptc2_initiatives.html" TargetMode="External"/><Relationship Id="rId11" Type="http://schemas.openxmlformats.org/officeDocument/2006/relationships/hyperlink" Target="http://www.pre.ethics.gc.ca/eng/documents/tcps2-2018-en-interactive-final.pdf" TargetMode="External"/><Relationship Id="rId5" Type="http://schemas.openxmlformats.org/officeDocument/2006/relationships/hyperlink" Target="https://ethics.gc.ca/eng/policy-politique_tcps2-eptc2_initiatives.html" TargetMode="External"/><Relationship Id="rId10" Type="http://schemas.openxmlformats.org/officeDocument/2006/relationships/hyperlink" Target="https://tbinternet.ohchr.org/_layouts/15/treatybodyexternal/Download.aspx?symbolno=E%2fC.12%2fCAN%2fCO%2f6&amp;Lang=en" TargetMode="External"/><Relationship Id="rId4" Type="http://schemas.openxmlformats.org/officeDocument/2006/relationships/hyperlink" Target="http://incomesecurity.org/publications/basic_income/Basic-Income-pilot-What-will-it-mean-for-people-on-social-assistance-April-27-2017.docx" TargetMode="External"/><Relationship Id="rId9" Type="http://schemas.openxmlformats.org/officeDocument/2006/relationships/hyperlink" Target="https://labourstudies.mcmaster.ca/documents/southern-ontarios-basic-income-exper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15CC-DAFC-414C-950C-3D214D92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3871</Words>
  <Characters>20323</Characters>
  <Application>Microsoft Office Word</Application>
  <DocSecurity>0</DocSecurity>
  <Lines>390</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Foye</dc:creator>
  <cp:keywords/>
  <dc:description/>
  <cp:lastModifiedBy>Michael W Howard</cp:lastModifiedBy>
  <cp:revision>2</cp:revision>
  <cp:lastPrinted>2020-04-21T22:52:00Z</cp:lastPrinted>
  <dcterms:created xsi:type="dcterms:W3CDTF">2021-08-24T23:15:00Z</dcterms:created>
  <dcterms:modified xsi:type="dcterms:W3CDTF">2021-08-24T23:15:00Z</dcterms:modified>
</cp:coreProperties>
</file>